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D1" w:rsidRPr="001F2BD1" w:rsidRDefault="001F2BD1" w:rsidP="001F2BD1">
      <w:pPr>
        <w:keepNext/>
        <w:keepLines/>
        <w:tabs>
          <w:tab w:val="left" w:pos="0"/>
          <w:tab w:val="left" w:pos="900"/>
        </w:tabs>
        <w:jc w:val="right"/>
        <w:outlineLvl w:val="4"/>
        <w:rPr>
          <w:b/>
          <w:lang w:eastAsia="en-US"/>
        </w:rPr>
      </w:pPr>
      <w:r w:rsidRPr="001F2BD1">
        <w:rPr>
          <w:lang w:eastAsia="en-US"/>
        </w:rPr>
        <w:t>УТВЕРЖДЕНО»</w:t>
      </w:r>
    </w:p>
    <w:p w:rsidR="001F2BD1" w:rsidRPr="001F2BD1" w:rsidRDefault="001F2BD1" w:rsidP="001F2BD1">
      <w:pPr>
        <w:jc w:val="right"/>
        <w:rPr>
          <w:rFonts w:eastAsia="Calibri"/>
          <w:lang w:eastAsia="en-US"/>
        </w:rPr>
      </w:pPr>
      <w:r w:rsidRPr="001F2BD1">
        <w:rPr>
          <w:rFonts w:eastAsia="Calibri"/>
          <w:lang w:eastAsia="en-US"/>
        </w:rPr>
        <w:t>на заседании кафедры гражданского процесса</w:t>
      </w:r>
    </w:p>
    <w:p w:rsidR="001F2BD1" w:rsidRPr="001F2BD1" w:rsidRDefault="001F2BD1" w:rsidP="001F2BD1">
      <w:pPr>
        <w:jc w:val="right"/>
        <w:rPr>
          <w:rFonts w:eastAsia="Calibri"/>
          <w:lang w:eastAsia="en-US"/>
        </w:rPr>
      </w:pPr>
      <w:r w:rsidRPr="001F2BD1">
        <w:rPr>
          <w:rFonts w:eastAsia="Calibri"/>
          <w:lang w:eastAsia="en-US"/>
        </w:rPr>
        <w:t>Протокол №____ от «____» ________ 20</w:t>
      </w:r>
      <w:r w:rsidR="00E510F4">
        <w:rPr>
          <w:rFonts w:eastAsia="Calibri"/>
          <w:lang w:eastAsia="en-US"/>
        </w:rPr>
        <w:t>2</w:t>
      </w:r>
      <w:r w:rsidR="00EA094B">
        <w:rPr>
          <w:rFonts w:eastAsia="Calibri"/>
          <w:lang w:eastAsia="en-US"/>
        </w:rPr>
        <w:t>4</w:t>
      </w:r>
      <w:r w:rsidRPr="001F2BD1">
        <w:rPr>
          <w:rFonts w:eastAsia="Calibri"/>
          <w:lang w:eastAsia="en-US"/>
        </w:rPr>
        <w:t xml:space="preserve"> г.</w:t>
      </w:r>
    </w:p>
    <w:p w:rsidR="001F2BD1" w:rsidRDefault="001F2BD1" w:rsidP="001F2BD1">
      <w:pPr>
        <w:jc w:val="right"/>
        <w:rPr>
          <w:rFonts w:eastAsia="Calibri"/>
          <w:lang w:eastAsia="en-US"/>
        </w:rPr>
      </w:pPr>
      <w:r w:rsidRPr="001F2BD1">
        <w:rPr>
          <w:rFonts w:eastAsia="Calibri"/>
          <w:lang w:eastAsia="en-US"/>
        </w:rPr>
        <w:t xml:space="preserve">зав. кафедрой_____________ доцент Н.Г. </w:t>
      </w:r>
      <w:proofErr w:type="spellStart"/>
      <w:r w:rsidRPr="001F2BD1">
        <w:rPr>
          <w:rFonts w:eastAsia="Calibri"/>
          <w:lang w:eastAsia="en-US"/>
        </w:rPr>
        <w:t>Галковская</w:t>
      </w:r>
      <w:proofErr w:type="spellEnd"/>
    </w:p>
    <w:p w:rsidR="001F2BD1" w:rsidRPr="001F2BD1" w:rsidRDefault="001F2BD1" w:rsidP="001F2BD1">
      <w:pPr>
        <w:jc w:val="right"/>
        <w:rPr>
          <w:rFonts w:eastAsia="Calibri"/>
          <w:lang w:eastAsia="en-US"/>
        </w:rPr>
      </w:pPr>
    </w:p>
    <w:p w:rsidR="001F2BD1" w:rsidRDefault="001F2BD1" w:rsidP="001F2BD1">
      <w:pPr>
        <w:jc w:val="center"/>
        <w:rPr>
          <w:rFonts w:eastAsia="Calibri"/>
          <w:b/>
          <w:lang w:eastAsia="en-US"/>
        </w:rPr>
      </w:pPr>
      <w:r w:rsidRPr="001F2BD1">
        <w:rPr>
          <w:rFonts w:eastAsia="Calibri"/>
          <w:b/>
          <w:lang w:eastAsia="en-US"/>
        </w:rPr>
        <w:t xml:space="preserve">Вопросы для сдачи </w:t>
      </w:r>
      <w:r w:rsidR="00E7463F">
        <w:rPr>
          <w:rFonts w:eastAsia="Calibri"/>
          <w:b/>
          <w:lang w:eastAsia="en-US"/>
        </w:rPr>
        <w:t>зачета</w:t>
      </w:r>
      <w:r w:rsidRPr="001F2BD1">
        <w:rPr>
          <w:rFonts w:eastAsia="Calibri"/>
          <w:b/>
          <w:lang w:eastAsia="en-US"/>
        </w:rPr>
        <w:t xml:space="preserve"> по дисциплине </w:t>
      </w:r>
    </w:p>
    <w:p w:rsidR="001F2BD1" w:rsidRDefault="001F2BD1" w:rsidP="001F2BD1">
      <w:pPr>
        <w:jc w:val="center"/>
        <w:rPr>
          <w:rFonts w:eastAsia="Calibri"/>
          <w:b/>
          <w:lang w:eastAsia="en-US"/>
        </w:rPr>
      </w:pPr>
      <w:r w:rsidRPr="001F2BD1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>Доказ</w:t>
      </w:r>
      <w:r w:rsidR="0005561F">
        <w:rPr>
          <w:rFonts w:eastAsia="Calibri"/>
          <w:b/>
          <w:lang w:eastAsia="en-US"/>
        </w:rPr>
        <w:t>ательства</w:t>
      </w:r>
      <w:r>
        <w:rPr>
          <w:rFonts w:eastAsia="Calibri"/>
          <w:b/>
          <w:lang w:eastAsia="en-US"/>
        </w:rPr>
        <w:t xml:space="preserve"> и доказ</w:t>
      </w:r>
      <w:r w:rsidR="0005561F">
        <w:rPr>
          <w:rFonts w:eastAsia="Calibri"/>
          <w:b/>
          <w:lang w:eastAsia="en-US"/>
        </w:rPr>
        <w:t>ывание</w:t>
      </w:r>
      <w:r>
        <w:rPr>
          <w:rFonts w:eastAsia="Calibri"/>
          <w:b/>
          <w:lang w:eastAsia="en-US"/>
        </w:rPr>
        <w:t xml:space="preserve"> в а</w:t>
      </w:r>
      <w:r w:rsidRPr="001F2BD1">
        <w:rPr>
          <w:rFonts w:eastAsia="Calibri"/>
          <w:b/>
          <w:lang w:eastAsia="en-US"/>
        </w:rPr>
        <w:t>рбитражн</w:t>
      </w:r>
      <w:r>
        <w:rPr>
          <w:rFonts w:eastAsia="Calibri"/>
          <w:b/>
          <w:lang w:eastAsia="en-US"/>
        </w:rPr>
        <w:t>ом</w:t>
      </w:r>
      <w:r w:rsidRPr="001F2BD1">
        <w:rPr>
          <w:rFonts w:eastAsia="Calibri"/>
          <w:b/>
          <w:lang w:eastAsia="en-US"/>
        </w:rPr>
        <w:t xml:space="preserve"> процесс</w:t>
      </w:r>
      <w:r>
        <w:rPr>
          <w:rFonts w:eastAsia="Calibri"/>
          <w:b/>
          <w:lang w:eastAsia="en-US"/>
        </w:rPr>
        <w:t>е</w:t>
      </w:r>
      <w:r w:rsidRPr="001F2BD1">
        <w:rPr>
          <w:rFonts w:eastAsia="Calibri"/>
          <w:b/>
          <w:lang w:eastAsia="en-US"/>
        </w:rPr>
        <w:t>»</w:t>
      </w:r>
    </w:p>
    <w:p w:rsidR="00EA094B" w:rsidRPr="001F2BD1" w:rsidRDefault="00EA094B" w:rsidP="001F2BD1">
      <w:pPr>
        <w:jc w:val="center"/>
        <w:rPr>
          <w:rFonts w:eastAsia="Calibri"/>
          <w:b/>
          <w:lang w:eastAsia="en-US"/>
        </w:rPr>
      </w:pPr>
    </w:p>
    <w:p w:rsidR="00CB114D" w:rsidRDefault="00EA094B" w:rsidP="00CB114D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Понятие</w:t>
      </w:r>
      <w:r w:rsidR="00AF6532">
        <w:rPr>
          <w:rFonts w:eastAsia="Calibri"/>
        </w:rPr>
        <w:t>, значение</w:t>
      </w:r>
      <w:r w:rsidRPr="00B63E68">
        <w:rPr>
          <w:rFonts w:eastAsia="Calibri"/>
        </w:rPr>
        <w:t xml:space="preserve"> </w:t>
      </w:r>
      <w:r w:rsidR="00647A8E">
        <w:rPr>
          <w:rFonts w:eastAsia="Calibri"/>
        </w:rPr>
        <w:t xml:space="preserve">и элементы </w:t>
      </w:r>
      <w:r w:rsidRPr="00B63E68">
        <w:rPr>
          <w:rFonts w:eastAsia="Calibri"/>
        </w:rPr>
        <w:t xml:space="preserve">судебного доказывания. </w:t>
      </w:r>
      <w:r w:rsidR="00CB114D" w:rsidRPr="00B63E68">
        <w:rPr>
          <w:rFonts w:eastAsia="Calibri"/>
        </w:rPr>
        <w:t xml:space="preserve">Роль арбитражного суда в вопросах доказывания по делу. </w:t>
      </w:r>
    </w:p>
    <w:p w:rsidR="00EA094B" w:rsidRDefault="00EA094B" w:rsidP="00EA094B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Предмет доказывания. </w:t>
      </w:r>
      <w:r w:rsidR="00856F14">
        <w:rPr>
          <w:rFonts w:eastAsia="Calibri"/>
        </w:rPr>
        <w:t>Локальный предмет доказывания.</w:t>
      </w:r>
    </w:p>
    <w:p w:rsidR="00EA094B" w:rsidRPr="009F60BC" w:rsidRDefault="00EA094B" w:rsidP="00EA094B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Бремя (обязанность) доказывания.</w:t>
      </w:r>
      <w:r w:rsidRPr="009F60BC">
        <w:rPr>
          <w:rFonts w:eastAsia="Calibri"/>
        </w:rPr>
        <w:t xml:space="preserve"> </w:t>
      </w:r>
      <w:r w:rsidR="00AF6532">
        <w:rPr>
          <w:rFonts w:eastAsia="Calibri"/>
        </w:rPr>
        <w:t>Стандарт</w:t>
      </w:r>
      <w:r w:rsidR="001B28E8">
        <w:rPr>
          <w:rFonts w:eastAsia="Calibri"/>
        </w:rPr>
        <w:t>ы</w:t>
      </w:r>
      <w:r w:rsidR="00AF6532">
        <w:rPr>
          <w:rFonts w:eastAsia="Calibri"/>
        </w:rPr>
        <w:t xml:space="preserve"> доказывания.</w:t>
      </w:r>
    </w:p>
    <w:p w:rsidR="00EA094B" w:rsidRDefault="00EA094B" w:rsidP="00EA094B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Освобождение от доказывания. </w:t>
      </w:r>
    </w:p>
    <w:p w:rsidR="00EA094B" w:rsidRDefault="00EA094B" w:rsidP="00EA094B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Факты, признанные </w:t>
      </w:r>
      <w:r>
        <w:rPr>
          <w:rFonts w:eastAsia="Calibri"/>
        </w:rPr>
        <w:t xml:space="preserve">арбитражным </w:t>
      </w:r>
      <w:r w:rsidRPr="00B63E68">
        <w:rPr>
          <w:rFonts w:eastAsia="Calibri"/>
        </w:rPr>
        <w:t xml:space="preserve">судом общеизвестными. </w:t>
      </w:r>
      <w:proofErr w:type="spellStart"/>
      <w:r w:rsidR="00CB114D">
        <w:rPr>
          <w:rFonts w:eastAsia="Calibri"/>
        </w:rPr>
        <w:t>Ноторные</w:t>
      </w:r>
      <w:proofErr w:type="spellEnd"/>
      <w:r w:rsidR="00CB114D">
        <w:rPr>
          <w:rFonts w:eastAsia="Calibri"/>
        </w:rPr>
        <w:t xml:space="preserve"> обстоятельства.</w:t>
      </w:r>
    </w:p>
    <w:p w:rsidR="00EA094B" w:rsidRDefault="00EA094B" w:rsidP="00EA094B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Преюдициальная сила отдельных видов судебных актов. </w:t>
      </w:r>
    </w:p>
    <w:p w:rsidR="00EA094B" w:rsidRPr="00647A8E" w:rsidRDefault="00EA094B" w:rsidP="00851A80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647A8E">
        <w:rPr>
          <w:rFonts w:eastAsia="Calibri"/>
        </w:rPr>
        <w:t xml:space="preserve">Формирование </w:t>
      </w:r>
      <w:proofErr w:type="spellStart"/>
      <w:r w:rsidRPr="00647A8E">
        <w:rPr>
          <w:rFonts w:eastAsia="Calibri"/>
        </w:rPr>
        <w:t>преюдиции</w:t>
      </w:r>
      <w:proofErr w:type="spellEnd"/>
      <w:r w:rsidRPr="00647A8E">
        <w:rPr>
          <w:rFonts w:eastAsia="Calibri"/>
        </w:rPr>
        <w:t>.</w:t>
      </w:r>
      <w:r w:rsidR="00647A8E">
        <w:rPr>
          <w:rFonts w:eastAsia="Calibri"/>
        </w:rPr>
        <w:t xml:space="preserve"> </w:t>
      </w:r>
      <w:r w:rsidRPr="00647A8E">
        <w:rPr>
          <w:rFonts w:eastAsia="Calibri"/>
        </w:rPr>
        <w:t xml:space="preserve">Процессуальное закрепление </w:t>
      </w:r>
      <w:proofErr w:type="spellStart"/>
      <w:r w:rsidRPr="00647A8E">
        <w:rPr>
          <w:rFonts w:eastAsia="Calibri"/>
        </w:rPr>
        <w:t>преюдиции</w:t>
      </w:r>
      <w:proofErr w:type="spellEnd"/>
      <w:r w:rsidRPr="00647A8E">
        <w:rPr>
          <w:rFonts w:eastAsia="Calibri"/>
        </w:rPr>
        <w:t xml:space="preserve"> в рамках доказывания по взаимосвязанному делу. </w:t>
      </w:r>
    </w:p>
    <w:p w:rsidR="00EA094B" w:rsidRPr="00B63E68" w:rsidRDefault="00EA094B" w:rsidP="00EA094B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Влияние судебной практики на процесс доказывания.</w:t>
      </w:r>
    </w:p>
    <w:p w:rsidR="00EA094B" w:rsidRDefault="00EA094B" w:rsidP="00EA094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Понятие, значение и виды доказательств в арбитражном процессе. </w:t>
      </w:r>
    </w:p>
    <w:p w:rsidR="001B28E8" w:rsidRDefault="00EA094B" w:rsidP="001B28E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1B28E8">
        <w:rPr>
          <w:rFonts w:eastAsia="Calibri"/>
        </w:rPr>
        <w:t xml:space="preserve">Относимость и допустимость доказательств. </w:t>
      </w:r>
      <w:r w:rsidR="001B28E8" w:rsidRPr="001B28E8">
        <w:rPr>
          <w:rFonts w:eastAsia="Calibri"/>
        </w:rPr>
        <w:t>Исключение недопустимых доказательств.</w:t>
      </w:r>
    </w:p>
    <w:p w:rsidR="001B28E8" w:rsidRDefault="00EA094B" w:rsidP="001B28E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1B28E8">
        <w:rPr>
          <w:rFonts w:eastAsia="Calibri"/>
        </w:rPr>
        <w:t>Класс</w:t>
      </w:r>
      <w:r w:rsidR="001B28E8" w:rsidRPr="001B28E8">
        <w:rPr>
          <w:rFonts w:eastAsia="Calibri"/>
        </w:rPr>
        <w:t>ификация судебных доказательств, практическое значение.</w:t>
      </w:r>
    </w:p>
    <w:p w:rsidR="001B28E8" w:rsidRDefault="00EA094B" w:rsidP="001B28E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1B28E8">
        <w:rPr>
          <w:rFonts w:eastAsia="Calibri"/>
        </w:rPr>
        <w:t>Объя</w:t>
      </w:r>
      <w:r w:rsidR="001B28E8">
        <w:rPr>
          <w:rFonts w:eastAsia="Calibri"/>
        </w:rPr>
        <w:t>снения лиц, участвующих в деле (доказательственное значение, порядок исследования и оценки, виды).</w:t>
      </w:r>
    </w:p>
    <w:p w:rsidR="001B28E8" w:rsidRDefault="00EA094B" w:rsidP="001B28E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1B28E8">
        <w:rPr>
          <w:rFonts w:eastAsia="Calibri"/>
        </w:rPr>
        <w:t xml:space="preserve">Факты, признанные сторонами. </w:t>
      </w:r>
      <w:r w:rsidR="001B28E8" w:rsidRPr="001B28E8">
        <w:rPr>
          <w:rFonts w:eastAsia="Calibri"/>
        </w:rPr>
        <w:t>Одностороннее признание обстоятельств</w:t>
      </w:r>
      <w:r w:rsidR="001B28E8" w:rsidRPr="001B28E8">
        <w:rPr>
          <w:rFonts w:eastAsia="Calibri"/>
        </w:rPr>
        <w:t>.</w:t>
      </w:r>
      <w:r w:rsidR="001B28E8" w:rsidRPr="001B28E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B28E8" w:rsidRPr="001B28E8">
        <w:rPr>
          <w:rFonts w:eastAsia="Calibri"/>
        </w:rPr>
        <w:t>Соглашение сторон об обстоятельствах дела</w:t>
      </w:r>
      <w:r w:rsidR="001B28E8" w:rsidRPr="001B28E8">
        <w:rPr>
          <w:rFonts w:eastAsia="Calibri"/>
        </w:rPr>
        <w:t>.</w:t>
      </w:r>
    </w:p>
    <w:p w:rsidR="001B28E8" w:rsidRDefault="00EA094B" w:rsidP="001B28E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1B28E8">
        <w:rPr>
          <w:rFonts w:eastAsia="Calibri"/>
        </w:rPr>
        <w:t xml:space="preserve">Свидетельские показания. </w:t>
      </w:r>
    </w:p>
    <w:p w:rsidR="001B28E8" w:rsidRDefault="00EA094B" w:rsidP="001B28E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1B28E8">
        <w:rPr>
          <w:rFonts w:eastAsia="Calibri"/>
        </w:rPr>
        <w:t xml:space="preserve">Письменные доказательства. </w:t>
      </w:r>
    </w:p>
    <w:p w:rsidR="00EA094B" w:rsidRPr="001B28E8" w:rsidRDefault="00EA094B" w:rsidP="001B28E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1B28E8">
        <w:rPr>
          <w:rFonts w:eastAsia="Calibri"/>
        </w:rPr>
        <w:t xml:space="preserve">Надлежащее </w:t>
      </w:r>
      <w:proofErr w:type="gramStart"/>
      <w:r w:rsidRPr="001B28E8">
        <w:rPr>
          <w:rFonts w:eastAsia="Calibri"/>
        </w:rPr>
        <w:t>заверение копий</w:t>
      </w:r>
      <w:proofErr w:type="gramEnd"/>
      <w:r w:rsidRPr="001B28E8">
        <w:rPr>
          <w:rFonts w:eastAsia="Calibri"/>
        </w:rPr>
        <w:t xml:space="preserve"> документов.</w:t>
      </w:r>
    </w:p>
    <w:p w:rsidR="00EA094B" w:rsidRDefault="00EA094B" w:rsidP="00EA094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Использование скриншотов в качестве доказательства в </w:t>
      </w:r>
      <w:r>
        <w:rPr>
          <w:rFonts w:eastAsia="Calibri"/>
        </w:rPr>
        <w:t xml:space="preserve">арбитражном </w:t>
      </w:r>
      <w:r w:rsidRPr="00B63E68">
        <w:rPr>
          <w:rFonts w:eastAsia="Calibri"/>
        </w:rPr>
        <w:t>суде.</w:t>
      </w:r>
    </w:p>
    <w:p w:rsidR="00EA094B" w:rsidRDefault="00EA094B" w:rsidP="00EA094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Вещественные доказательства.</w:t>
      </w:r>
    </w:p>
    <w:p w:rsidR="00EA094B" w:rsidRDefault="00EA094B" w:rsidP="00EA094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>
        <w:rPr>
          <w:rFonts w:eastAsia="Calibri"/>
        </w:rPr>
        <w:t>Судебная экспертиза</w:t>
      </w:r>
      <w:r w:rsidRPr="00B63E68">
        <w:rPr>
          <w:rFonts w:eastAsia="Calibri"/>
        </w:rPr>
        <w:t>.</w:t>
      </w:r>
    </w:p>
    <w:p w:rsidR="00EA094B" w:rsidRDefault="00EA094B" w:rsidP="00EA094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Консультация специалиста как форма использования специальных знаний.</w:t>
      </w:r>
    </w:p>
    <w:p w:rsidR="00EA094B" w:rsidRDefault="00EA094B" w:rsidP="00EA094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Запрос специализированно</w:t>
      </w:r>
      <w:bookmarkStart w:id="0" w:name="_GoBack"/>
      <w:bookmarkEnd w:id="0"/>
      <w:r w:rsidRPr="00B63E68">
        <w:rPr>
          <w:rFonts w:eastAsia="Calibri"/>
        </w:rPr>
        <w:t>го суда как форма использования специальных знаний в Суде по интеллектуальным правам.</w:t>
      </w:r>
    </w:p>
    <w:p w:rsidR="00EA094B" w:rsidRDefault="00EA094B" w:rsidP="00EA094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Иные документы и материалы, используемые в арбитражном процессе в качестве доказательств по делу.</w:t>
      </w:r>
    </w:p>
    <w:p w:rsidR="00EA094B" w:rsidRDefault="00EA094B" w:rsidP="00EA094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 xml:space="preserve">Раскрытие </w:t>
      </w:r>
      <w:r>
        <w:rPr>
          <w:rFonts w:eastAsia="Calibri"/>
        </w:rPr>
        <w:t xml:space="preserve">и представление </w:t>
      </w:r>
      <w:r w:rsidRPr="00B63E68">
        <w:rPr>
          <w:rFonts w:eastAsia="Calibri"/>
        </w:rPr>
        <w:t>доказательств.</w:t>
      </w:r>
    </w:p>
    <w:p w:rsidR="00EA094B" w:rsidRDefault="00EA094B" w:rsidP="00EA094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Осмотр доказательств по месту их нахождения.</w:t>
      </w:r>
    </w:p>
    <w:p w:rsidR="00EA094B" w:rsidRDefault="00EA094B" w:rsidP="00EA094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Истребование доказательств.</w:t>
      </w:r>
    </w:p>
    <w:p w:rsidR="00EA094B" w:rsidRDefault="00EA094B" w:rsidP="00EA094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Обеспечение доказательств</w:t>
      </w:r>
      <w:r>
        <w:rPr>
          <w:rFonts w:eastAsia="Calibri"/>
        </w:rPr>
        <w:t xml:space="preserve"> арбитражным су</w:t>
      </w:r>
      <w:r w:rsidRPr="00B63E68">
        <w:rPr>
          <w:rFonts w:eastAsia="Calibri"/>
        </w:rPr>
        <w:t>дом.</w:t>
      </w:r>
    </w:p>
    <w:p w:rsidR="00EA094B" w:rsidRPr="00B63E68" w:rsidRDefault="00EA094B" w:rsidP="00EA094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Институт судебных поручений.</w:t>
      </w:r>
    </w:p>
    <w:p w:rsidR="00EA094B" w:rsidRDefault="00EA094B" w:rsidP="00EA094B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Исследование доказательств: понятие</w:t>
      </w:r>
      <w:r>
        <w:rPr>
          <w:rFonts w:eastAsia="Calibri"/>
        </w:rPr>
        <w:t>,</w:t>
      </w:r>
      <w:r w:rsidRPr="00B63E68">
        <w:rPr>
          <w:rFonts w:eastAsia="Calibri"/>
        </w:rPr>
        <w:t xml:space="preserve"> принципы</w:t>
      </w:r>
      <w:r>
        <w:rPr>
          <w:rFonts w:eastAsia="Calibri"/>
        </w:rPr>
        <w:t>, порядок.</w:t>
      </w:r>
    </w:p>
    <w:p w:rsidR="00EA094B" w:rsidRDefault="00EA094B" w:rsidP="00EA094B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B63E68">
        <w:rPr>
          <w:rFonts w:eastAsia="Calibri"/>
        </w:rPr>
        <w:t>Исследование доказательств путем использования систем видеоконференц-связи.</w:t>
      </w:r>
      <w:r w:rsidRPr="0074636F">
        <w:rPr>
          <w:rFonts w:eastAsia="Calibri"/>
        </w:rPr>
        <w:t xml:space="preserve"> </w:t>
      </w:r>
    </w:p>
    <w:p w:rsidR="00EA094B" w:rsidRPr="00B63E68" w:rsidRDefault="00EA094B" w:rsidP="00EA094B">
      <w:pPr>
        <w:numPr>
          <w:ilvl w:val="0"/>
          <w:numId w:val="1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>П</w:t>
      </w:r>
      <w:r w:rsidRPr="0074636F">
        <w:rPr>
          <w:rFonts w:eastAsia="Calibri"/>
        </w:rPr>
        <w:t>онятие и критерии оценки доказательств арбитражным судом.</w:t>
      </w:r>
    </w:p>
    <w:p w:rsidR="00EA094B" w:rsidRPr="001F2BD1" w:rsidRDefault="00EA094B" w:rsidP="001F2BD1">
      <w:pPr>
        <w:jc w:val="center"/>
        <w:rPr>
          <w:rFonts w:eastAsia="Calibri"/>
          <w:b/>
          <w:lang w:eastAsia="en-US"/>
        </w:rPr>
      </w:pPr>
    </w:p>
    <w:sectPr w:rsidR="00EA094B" w:rsidRPr="001F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1F57"/>
    <w:multiLevelType w:val="hybridMultilevel"/>
    <w:tmpl w:val="D116EFF6"/>
    <w:lvl w:ilvl="0" w:tplc="0986A238">
      <w:start w:val="1"/>
      <w:numFmt w:val="decimal"/>
      <w:lvlText w:val="%1)"/>
      <w:lvlJc w:val="left"/>
      <w:pPr>
        <w:ind w:left="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9" w:hanging="360"/>
      </w:pPr>
    </w:lvl>
    <w:lvl w:ilvl="2" w:tplc="0419001B" w:tentative="1">
      <w:start w:val="1"/>
      <w:numFmt w:val="lowerRoman"/>
      <w:lvlText w:val="%3."/>
      <w:lvlJc w:val="right"/>
      <w:pPr>
        <w:ind w:left="1489" w:hanging="180"/>
      </w:pPr>
    </w:lvl>
    <w:lvl w:ilvl="3" w:tplc="0419000F" w:tentative="1">
      <w:start w:val="1"/>
      <w:numFmt w:val="decimal"/>
      <w:lvlText w:val="%4."/>
      <w:lvlJc w:val="left"/>
      <w:pPr>
        <w:ind w:left="2209" w:hanging="360"/>
      </w:pPr>
    </w:lvl>
    <w:lvl w:ilvl="4" w:tplc="04190019" w:tentative="1">
      <w:start w:val="1"/>
      <w:numFmt w:val="lowerLetter"/>
      <w:lvlText w:val="%5."/>
      <w:lvlJc w:val="left"/>
      <w:pPr>
        <w:ind w:left="2929" w:hanging="360"/>
      </w:pPr>
    </w:lvl>
    <w:lvl w:ilvl="5" w:tplc="0419001B" w:tentative="1">
      <w:start w:val="1"/>
      <w:numFmt w:val="lowerRoman"/>
      <w:lvlText w:val="%6."/>
      <w:lvlJc w:val="right"/>
      <w:pPr>
        <w:ind w:left="3649" w:hanging="180"/>
      </w:pPr>
    </w:lvl>
    <w:lvl w:ilvl="6" w:tplc="0419000F" w:tentative="1">
      <w:start w:val="1"/>
      <w:numFmt w:val="decimal"/>
      <w:lvlText w:val="%7."/>
      <w:lvlJc w:val="left"/>
      <w:pPr>
        <w:ind w:left="4369" w:hanging="360"/>
      </w:pPr>
    </w:lvl>
    <w:lvl w:ilvl="7" w:tplc="04190019" w:tentative="1">
      <w:start w:val="1"/>
      <w:numFmt w:val="lowerLetter"/>
      <w:lvlText w:val="%8."/>
      <w:lvlJc w:val="left"/>
      <w:pPr>
        <w:ind w:left="5089" w:hanging="360"/>
      </w:pPr>
    </w:lvl>
    <w:lvl w:ilvl="8" w:tplc="0419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1">
    <w:nsid w:val="535B1D18"/>
    <w:multiLevelType w:val="hybridMultilevel"/>
    <w:tmpl w:val="F36E8C68"/>
    <w:lvl w:ilvl="0" w:tplc="09B819BE">
      <w:start w:val="1"/>
      <w:numFmt w:val="decimal"/>
      <w:suff w:val="space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693B438F"/>
    <w:multiLevelType w:val="hybridMultilevel"/>
    <w:tmpl w:val="8CDA091C"/>
    <w:lvl w:ilvl="0" w:tplc="9CF4DF5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2554A3"/>
    <w:multiLevelType w:val="hybridMultilevel"/>
    <w:tmpl w:val="26DC4710"/>
    <w:lvl w:ilvl="0" w:tplc="148CBA6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71702A8E"/>
    <w:multiLevelType w:val="hybridMultilevel"/>
    <w:tmpl w:val="BB2C2542"/>
    <w:lvl w:ilvl="0" w:tplc="8D128736">
      <w:start w:val="1"/>
      <w:numFmt w:val="decimal"/>
      <w:suff w:val="space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5"/>
    <w:rsid w:val="0005561F"/>
    <w:rsid w:val="00187247"/>
    <w:rsid w:val="001B28E8"/>
    <w:rsid w:val="001F2BD1"/>
    <w:rsid w:val="002B676D"/>
    <w:rsid w:val="0042241C"/>
    <w:rsid w:val="004545EA"/>
    <w:rsid w:val="00500A85"/>
    <w:rsid w:val="00647A8E"/>
    <w:rsid w:val="00842F31"/>
    <w:rsid w:val="00856F14"/>
    <w:rsid w:val="00866234"/>
    <w:rsid w:val="00AB6ECB"/>
    <w:rsid w:val="00AF6532"/>
    <w:rsid w:val="00B826CB"/>
    <w:rsid w:val="00CB114D"/>
    <w:rsid w:val="00E510F4"/>
    <w:rsid w:val="00E7463F"/>
    <w:rsid w:val="00EA094B"/>
    <w:rsid w:val="00F924D4"/>
    <w:rsid w:val="00F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ЮИ - Наталья Галковская</cp:lastModifiedBy>
  <cp:revision>3</cp:revision>
  <dcterms:created xsi:type="dcterms:W3CDTF">2024-03-05T05:57:00Z</dcterms:created>
  <dcterms:modified xsi:type="dcterms:W3CDTF">2024-03-16T11:51:00Z</dcterms:modified>
</cp:coreProperties>
</file>