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497D" w14:textId="133AFF21" w:rsidR="00F61BEC" w:rsidRDefault="005C1FAC" w:rsidP="00F61BEC">
      <w:pPr>
        <w:pStyle w:val="a5"/>
        <w:jc w:val="center"/>
      </w:pPr>
      <w:r>
        <w:t>Теоретические в</w:t>
      </w:r>
      <w:r w:rsidRPr="00F71681">
        <w:t>опросы</w:t>
      </w:r>
      <w:r>
        <w:t xml:space="preserve"> к зачету</w:t>
      </w:r>
      <w:r w:rsidRPr="00F71681">
        <w:t xml:space="preserve"> по курсу</w:t>
      </w:r>
    </w:p>
    <w:p w14:paraId="21EA71E6" w14:textId="34220BB1" w:rsidR="005C1FAC" w:rsidRDefault="005C1FAC" w:rsidP="00F61BEC">
      <w:pPr>
        <w:pStyle w:val="a5"/>
        <w:jc w:val="center"/>
      </w:pPr>
      <w:r>
        <w:t>Валютное</w:t>
      </w:r>
      <w:r w:rsidRPr="00F71681">
        <w:t xml:space="preserve"> право РФ</w:t>
      </w:r>
    </w:p>
    <w:p w14:paraId="7854D44C" w14:textId="595A49BD" w:rsidR="005C1FAC" w:rsidRDefault="005C1FAC" w:rsidP="00F61BEC">
      <w:pPr>
        <w:pStyle w:val="a5"/>
        <w:jc w:val="center"/>
      </w:pPr>
      <w:r>
        <w:t>(2022)</w:t>
      </w:r>
    </w:p>
    <w:p w14:paraId="77CBACB3" w14:textId="77777777" w:rsidR="00F61BEC" w:rsidRPr="005C1FAC" w:rsidRDefault="00F61BEC" w:rsidP="00F61BEC">
      <w:pPr>
        <w:pStyle w:val="a5"/>
        <w:jc w:val="center"/>
      </w:pPr>
    </w:p>
    <w:p w14:paraId="69616809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BD23AF">
        <w:t xml:space="preserve">История развития валютных отношений и валютного законодательства в России. </w:t>
      </w:r>
    </w:p>
    <w:p w14:paraId="58E107FF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BD23AF">
        <w:t xml:space="preserve">Понятие валютного права и его место в системе российского права и законодательства. </w:t>
      </w:r>
    </w:p>
    <w:p w14:paraId="4BFC9C99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BD23AF">
        <w:t xml:space="preserve">Источники валютного права. </w:t>
      </w:r>
    </w:p>
    <w:p w14:paraId="3510870E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BD23AF">
        <w:t>Валютное законодательство Российской Федерации, акты органов валютного регулирования и акты органов валютного контроля.</w:t>
      </w:r>
    </w:p>
    <w:p w14:paraId="5619E606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Валютные отношения как объект правового регулирования. </w:t>
      </w:r>
    </w:p>
    <w:p w14:paraId="3A9A4806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Валютные правоотношения: понятие и структура. </w:t>
      </w:r>
    </w:p>
    <w:p w14:paraId="4BC9F1D5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Виды валютных правоотношений. </w:t>
      </w:r>
    </w:p>
    <w:p w14:paraId="1D4F688D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Объекты валютных правоотношений. </w:t>
      </w:r>
    </w:p>
    <w:p w14:paraId="0A6A997B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Субъекты валютных правоотношений. </w:t>
      </w:r>
    </w:p>
    <w:p w14:paraId="368EB643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Правовой статус резидентов. </w:t>
      </w:r>
    </w:p>
    <w:p w14:paraId="1BF2F31F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>Правовой статус нерезидентов.</w:t>
      </w:r>
    </w:p>
    <w:p w14:paraId="5265AA60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Валютное регулирование: понятие, цели и формы осуществления. </w:t>
      </w:r>
    </w:p>
    <w:p w14:paraId="214614F8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Принципы валютного регулирования. </w:t>
      </w:r>
    </w:p>
    <w:p w14:paraId="189F3DBF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Валютные ограничения. </w:t>
      </w:r>
    </w:p>
    <w:p w14:paraId="30107F16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>Правовой статус органов валютного регулирования.</w:t>
      </w:r>
    </w:p>
    <w:p w14:paraId="03E83966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Правовой режим валютных операций. </w:t>
      </w:r>
    </w:p>
    <w:p w14:paraId="7EEEBFB0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Правовое регулирование валютных операций, совершаемых резидентами. </w:t>
      </w:r>
    </w:p>
    <w:p w14:paraId="283CC7A3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Правовое регулирование валютных операций, совершаемых нерезидентами. </w:t>
      </w:r>
    </w:p>
    <w:p w14:paraId="3EC38611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Валютные операции между резидентами и нерезидентами. </w:t>
      </w:r>
    </w:p>
    <w:p w14:paraId="6DFB0973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Ввоз в Российскую Федерацию и вывоз из Российской Федерации валютных ценностей, валюты Российской Федерации и внутренних ценных бумаг. </w:t>
      </w:r>
    </w:p>
    <w:p w14:paraId="52A6615C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>Правовое регулирование купли-продажи иностранной валюты и чеков.</w:t>
      </w:r>
    </w:p>
    <w:p w14:paraId="53F1E581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Правовой статус органов валютного контроля. </w:t>
      </w:r>
    </w:p>
    <w:p w14:paraId="01FE72F7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>Правовой статус агентов валютного контроля.</w:t>
      </w:r>
    </w:p>
    <w:p w14:paraId="198D0CD4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Понятие и значение валютного контроля. </w:t>
      </w:r>
    </w:p>
    <w:p w14:paraId="5331E31B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Формы и виды валютного контроля. </w:t>
      </w:r>
    </w:p>
    <w:p w14:paraId="3BE2553B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>Валютный контроль за экспортно-импортными операциями.</w:t>
      </w:r>
    </w:p>
    <w:p w14:paraId="74EC8AC7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Понятие легализации (отмывания) доходов, полученных преступным путем. </w:t>
      </w:r>
    </w:p>
    <w:p w14:paraId="3194E609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Правовой статус Федеральной службы по финансовому мониторингу. </w:t>
      </w:r>
    </w:p>
    <w:p w14:paraId="3849B6EB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Правовой статус организаций, осуществляющих операции с денежными средствами и иным имуществом. </w:t>
      </w:r>
    </w:p>
    <w:p w14:paraId="7EFB326E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>Меры, направленные на противодействие легализации (отмыванию) доходов, полученных преступным путем.</w:t>
      </w:r>
    </w:p>
    <w:p w14:paraId="05CA96BB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Понятие нарушения валютного законодательства Российской Федерации и ответственности за его совершение. </w:t>
      </w:r>
    </w:p>
    <w:p w14:paraId="480545A5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Уголовная ответственность за нарушения валютного законодательства Российской Федерации. </w:t>
      </w:r>
    </w:p>
    <w:p w14:paraId="0D4DB03F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Административная ответственность за нарушения валютного законодательства Российской Федерации. </w:t>
      </w:r>
    </w:p>
    <w:p w14:paraId="786F2A8A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Международные валютные отношения как объект государственного регулирования. </w:t>
      </w:r>
    </w:p>
    <w:p w14:paraId="5BBFDF2D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Понятие международного валютного права. </w:t>
      </w:r>
    </w:p>
    <w:p w14:paraId="6AE1A2AD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>Соотношение норм национального и международного валютного права</w:t>
      </w:r>
      <w:r>
        <w:t>.</w:t>
      </w:r>
    </w:p>
    <w:p w14:paraId="6D2AC52D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Общая характеристика договоров в международном валютном праве. </w:t>
      </w:r>
    </w:p>
    <w:p w14:paraId="1CDB32C8" w14:textId="77777777" w:rsidR="005C1FAC" w:rsidRDefault="005C1FAC" w:rsidP="005C1FAC">
      <w:pPr>
        <w:pStyle w:val="a5"/>
        <w:widowControl/>
        <w:numPr>
          <w:ilvl w:val="0"/>
          <w:numId w:val="1"/>
        </w:numPr>
      </w:pPr>
      <w:r w:rsidRPr="00E243BD">
        <w:t>Международные договоры в валютной сфере, ратифицированные Российской Федерацией.</w:t>
      </w:r>
    </w:p>
    <w:p w14:paraId="2037D7A2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t xml:space="preserve">Общая характеристика международных финансовых организаций. </w:t>
      </w:r>
    </w:p>
    <w:p w14:paraId="19582571" w14:textId="77777777" w:rsidR="005C1FAC" w:rsidRPr="00E243BD" w:rsidRDefault="005C1FAC" w:rsidP="005C1FAC">
      <w:pPr>
        <w:pStyle w:val="a5"/>
        <w:widowControl/>
        <w:numPr>
          <w:ilvl w:val="0"/>
          <w:numId w:val="1"/>
        </w:numPr>
      </w:pPr>
      <w:r w:rsidRPr="00E243BD">
        <w:lastRenderedPageBreak/>
        <w:t>Правовой статус Международного валютного фонда.</w:t>
      </w:r>
    </w:p>
    <w:p w14:paraId="7F0B3599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7FB2"/>
    <w:multiLevelType w:val="hybridMultilevel"/>
    <w:tmpl w:val="65E2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AC"/>
    <w:rsid w:val="005C1FAC"/>
    <w:rsid w:val="00D5704F"/>
    <w:rsid w:val="00F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367"/>
  <w15:chartTrackingRefBased/>
  <w15:docId w15:val="{8C01B8E7-7B38-4EC0-ACFD-C6DD181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link w:val="a4"/>
    <w:rsid w:val="005C1FAC"/>
    <w:pPr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Текст Знак"/>
    <w:basedOn w:val="a0"/>
    <w:link w:val="a3"/>
    <w:rsid w:val="005C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1FA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2</cp:revision>
  <dcterms:created xsi:type="dcterms:W3CDTF">2022-11-11T05:46:00Z</dcterms:created>
  <dcterms:modified xsi:type="dcterms:W3CDTF">2022-11-11T06:17:00Z</dcterms:modified>
</cp:coreProperties>
</file>