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A85E" w14:textId="77777777" w:rsidR="0025520D" w:rsidRPr="00E44445" w:rsidRDefault="0025520D" w:rsidP="0025520D">
      <w:pPr>
        <w:pStyle w:val="a3"/>
        <w:spacing w:line="276" w:lineRule="auto"/>
        <w:rPr>
          <w:b/>
          <w:bCs/>
          <w:i/>
          <w:sz w:val="28"/>
          <w:szCs w:val="28"/>
        </w:rPr>
      </w:pPr>
      <w:r w:rsidRPr="00E44445">
        <w:rPr>
          <w:b/>
          <w:bCs/>
          <w:i/>
          <w:sz w:val="28"/>
          <w:szCs w:val="28"/>
        </w:rPr>
        <w:t>Методические рекомендации для подготовки к семинарским занятиям</w:t>
      </w:r>
      <w:r>
        <w:rPr>
          <w:b/>
          <w:bCs/>
          <w:i/>
          <w:sz w:val="28"/>
          <w:szCs w:val="28"/>
        </w:rPr>
        <w:t xml:space="preserve"> по дисциплине «Право социального обеспечения»</w:t>
      </w:r>
    </w:p>
    <w:p w14:paraId="2A18DE5D" w14:textId="77777777" w:rsidR="0025520D" w:rsidRPr="00E44445" w:rsidRDefault="0025520D" w:rsidP="0025520D">
      <w:pPr>
        <w:pStyle w:val="a3"/>
        <w:spacing w:line="276" w:lineRule="auto"/>
        <w:rPr>
          <w:b/>
          <w:bCs/>
          <w:i/>
          <w:sz w:val="28"/>
          <w:szCs w:val="28"/>
        </w:rPr>
      </w:pPr>
    </w:p>
    <w:p w14:paraId="171762D0" w14:textId="77777777" w:rsidR="0025520D" w:rsidRPr="00E44445" w:rsidRDefault="0025520D" w:rsidP="0025520D">
      <w:pPr>
        <w:spacing w:line="276" w:lineRule="auto"/>
        <w:ind w:firstLine="567"/>
        <w:jc w:val="both"/>
        <w:rPr>
          <w:sz w:val="28"/>
          <w:szCs w:val="28"/>
        </w:rPr>
      </w:pPr>
      <w:r w:rsidRPr="00E44445">
        <w:rPr>
          <w:color w:val="000000"/>
          <w:sz w:val="28"/>
          <w:szCs w:val="28"/>
        </w:rPr>
        <w:t xml:space="preserve">Семинарские занятия являются важнейшим элементом в системе подготовки квалифицированного юриста, направленным на формирование и развитие практических навыков студентов, организацию учебного процесса с предоставлением возможности для </w:t>
      </w:r>
      <w:r w:rsidRPr="00E44445">
        <w:rPr>
          <w:sz w:val="28"/>
          <w:szCs w:val="28"/>
        </w:rPr>
        <w:t xml:space="preserve">проявления индивидуальных способностей студентов, проверку качества усвоения студентами теоретической части курса и конкретных тем на основе их самостоятельной работы с конспектами лекций, учебниками, научной литературой, нормативными правовыми актами и актами судебной практики. Цель настоящих рекомендаций заключается в оказании содействия студентам в процессе выработки индивидуального, наиболее приемлемого алгоритма подготовки к занятиям для полного и всестороннего усвоения курса права </w:t>
      </w:r>
      <w:proofErr w:type="gramStart"/>
      <w:r w:rsidRPr="00E44445">
        <w:rPr>
          <w:sz w:val="28"/>
          <w:szCs w:val="28"/>
        </w:rPr>
        <w:t>социального  обеспечения</w:t>
      </w:r>
      <w:proofErr w:type="gramEnd"/>
      <w:r w:rsidRPr="00E44445">
        <w:rPr>
          <w:sz w:val="28"/>
          <w:szCs w:val="28"/>
        </w:rPr>
        <w:t xml:space="preserve"> России.</w:t>
      </w:r>
    </w:p>
    <w:p w14:paraId="773694E9" w14:textId="77777777" w:rsidR="0025520D" w:rsidRPr="00E44445" w:rsidRDefault="0025520D" w:rsidP="0025520D">
      <w:pPr>
        <w:spacing w:line="276" w:lineRule="auto"/>
        <w:ind w:firstLine="567"/>
        <w:jc w:val="both"/>
        <w:rPr>
          <w:sz w:val="28"/>
          <w:szCs w:val="28"/>
        </w:rPr>
      </w:pPr>
      <w:r w:rsidRPr="00E44445">
        <w:rPr>
          <w:sz w:val="28"/>
          <w:szCs w:val="28"/>
        </w:rPr>
        <w:t xml:space="preserve">Следует учитывать, что каждое семинарское занятие представляет собой комплекс заданий теоретико-понятийного (усвоение определений, положений законодательства и научной литературы, относящихся к соответствующей теме) и проблемно-практического (решение задач, тестовых заданий) характера. </w:t>
      </w:r>
    </w:p>
    <w:p w14:paraId="03FB9633" w14:textId="77777777" w:rsidR="0025520D" w:rsidRPr="00E44445" w:rsidRDefault="0025520D" w:rsidP="0025520D">
      <w:pPr>
        <w:spacing w:line="276" w:lineRule="auto"/>
        <w:ind w:firstLine="567"/>
        <w:jc w:val="both"/>
        <w:rPr>
          <w:sz w:val="28"/>
          <w:szCs w:val="28"/>
        </w:rPr>
      </w:pPr>
      <w:r w:rsidRPr="00E44445">
        <w:rPr>
          <w:sz w:val="28"/>
          <w:szCs w:val="28"/>
        </w:rPr>
        <w:t xml:space="preserve">Начинать подготовку к семинарскому занятию нужно с изучения вопросов, указанных в планах. Студент должен иметь конспекты лекций по курсу, доступ к рекомендованной литературе, к нормативным правовым актам к теме семинарского занятия, а также отдельную рабочую тетрадь для выполнения практических заданий. Кроме этого, для обеспечения надлежащего усвоения учебного материала внимание следует уделять самостоятельному изучению трудов ученых, статей из периодической литературы, нормативных правовых актов, содержащих нормы права социального обеспечения. </w:t>
      </w:r>
    </w:p>
    <w:p w14:paraId="65BDD733" w14:textId="77777777" w:rsidR="0025520D" w:rsidRPr="00E44445" w:rsidRDefault="0025520D" w:rsidP="0025520D">
      <w:pPr>
        <w:spacing w:line="276" w:lineRule="auto"/>
        <w:ind w:firstLine="567"/>
        <w:jc w:val="both"/>
        <w:rPr>
          <w:sz w:val="28"/>
          <w:szCs w:val="28"/>
        </w:rPr>
      </w:pPr>
      <w:r w:rsidRPr="00E44445">
        <w:rPr>
          <w:sz w:val="28"/>
          <w:szCs w:val="28"/>
        </w:rPr>
        <w:t>Нельзя считать продуктивной такую подготовку к занятию, которая сводится только к простому повторению материала, изложенного в лекции или в учебнике. Семинар – это, в первую очередь, способ развития творческого мышления, и в этом его основное учебно-методическое назначение, наибольшая дидактическая ценность. Только в том случае, если после занятия студенты имеют более глубокие знания, чем к его началу, оно полностью оправдывает себя как форма обучения.</w:t>
      </w:r>
    </w:p>
    <w:p w14:paraId="3EF5B3F7" w14:textId="77777777" w:rsidR="0025520D" w:rsidRPr="00E44445" w:rsidRDefault="0025520D" w:rsidP="0025520D">
      <w:pPr>
        <w:spacing w:line="276" w:lineRule="auto"/>
        <w:ind w:firstLine="567"/>
        <w:jc w:val="both"/>
        <w:rPr>
          <w:sz w:val="28"/>
          <w:szCs w:val="28"/>
        </w:rPr>
      </w:pPr>
      <w:r w:rsidRPr="00E44445">
        <w:rPr>
          <w:sz w:val="28"/>
          <w:szCs w:val="28"/>
        </w:rPr>
        <w:t xml:space="preserve">Наиболее актуальные, практически значимые выводы и оригинальные идеи авторов, содержащиеся в основных рекомендованных источниках, как правило, должны быть законспектированы. При этом следует избегать </w:t>
      </w:r>
      <w:r w:rsidRPr="00E44445">
        <w:rPr>
          <w:sz w:val="28"/>
          <w:szCs w:val="28"/>
        </w:rPr>
        <w:lastRenderedPageBreak/>
        <w:t xml:space="preserve">дублирования текстов изучаемых материалов, а также ограничиваться конспектированием основных учебников, поскольку это исключает активный, творческий подход студента к учебному процессу, существенно сужает круг познавательных источников. </w:t>
      </w:r>
    </w:p>
    <w:p w14:paraId="7305EEE8" w14:textId="77777777" w:rsidR="0025520D" w:rsidRPr="00E44445" w:rsidRDefault="0025520D" w:rsidP="0025520D">
      <w:pPr>
        <w:spacing w:line="276" w:lineRule="auto"/>
        <w:ind w:firstLine="567"/>
        <w:jc w:val="both"/>
        <w:rPr>
          <w:sz w:val="28"/>
          <w:szCs w:val="28"/>
        </w:rPr>
      </w:pPr>
      <w:r w:rsidRPr="00E44445">
        <w:rPr>
          <w:sz w:val="28"/>
          <w:szCs w:val="28"/>
        </w:rPr>
        <w:t xml:space="preserve">Отношения в области правового регулирования социально-обеспечительных отношений развиваются достаточно динамично, если не сказать стремительно, и, как следствие, законы и иные нормативные правовые акты в указанной сфере уже на протяжении нескольких лет пребывают в стадии реформирования. Именно поэтому в предложенных планах семинарских занятий нормативный материал, как правило, указывается без ссылки на первоначальный официальный источник опубликования. Это обстоятельство делает необходимым применение в процессе подготовки к семинарским занятиям электронных правовых систем (Консультант Плюс, Гарант, Кодекс и других) для своевременного учета изменений в действующих нормативных правовых актах (в том числе и в смежных сферах регулирования), определения актуальности учебной и учебно-методической литературы, а также других материалов вспомогательного характера. </w:t>
      </w:r>
    </w:p>
    <w:p w14:paraId="45AB34DD" w14:textId="77777777" w:rsidR="0025520D" w:rsidRPr="00E44445" w:rsidRDefault="0025520D" w:rsidP="0025520D">
      <w:pPr>
        <w:spacing w:line="276" w:lineRule="auto"/>
        <w:ind w:firstLine="567"/>
        <w:jc w:val="both"/>
        <w:rPr>
          <w:sz w:val="28"/>
          <w:szCs w:val="28"/>
        </w:rPr>
      </w:pPr>
      <w:r w:rsidRPr="00E44445">
        <w:rPr>
          <w:sz w:val="28"/>
          <w:szCs w:val="28"/>
        </w:rPr>
        <w:t>Наиболее эффективное, качественное усвоение учебного материала обеспечивается изучением, анализом, сравнением и обобщением всех источников, которые определяются планами семинарских занятий, как правило, в следующей последовательности:</w:t>
      </w:r>
    </w:p>
    <w:p w14:paraId="5417E26B" w14:textId="77777777" w:rsidR="0025520D" w:rsidRPr="00E44445" w:rsidRDefault="0025520D" w:rsidP="0025520D">
      <w:pPr>
        <w:numPr>
          <w:ilvl w:val="0"/>
          <w:numId w:val="1"/>
        </w:numPr>
        <w:spacing w:line="276" w:lineRule="auto"/>
        <w:ind w:left="681" w:hanging="284"/>
        <w:jc w:val="both"/>
        <w:rPr>
          <w:sz w:val="28"/>
          <w:szCs w:val="28"/>
        </w:rPr>
      </w:pPr>
      <w:r w:rsidRPr="00E44445">
        <w:rPr>
          <w:sz w:val="28"/>
          <w:szCs w:val="28"/>
        </w:rPr>
        <w:t>конспект лекции;</w:t>
      </w:r>
    </w:p>
    <w:p w14:paraId="3355FE6F" w14:textId="77777777" w:rsidR="0025520D" w:rsidRPr="00E44445" w:rsidRDefault="0025520D" w:rsidP="0025520D">
      <w:pPr>
        <w:numPr>
          <w:ilvl w:val="0"/>
          <w:numId w:val="1"/>
        </w:numPr>
        <w:spacing w:line="276" w:lineRule="auto"/>
        <w:ind w:left="681" w:hanging="284"/>
        <w:jc w:val="both"/>
        <w:rPr>
          <w:sz w:val="28"/>
          <w:szCs w:val="28"/>
        </w:rPr>
      </w:pPr>
      <w:r w:rsidRPr="00E44445">
        <w:rPr>
          <w:sz w:val="28"/>
          <w:szCs w:val="28"/>
        </w:rPr>
        <w:t>учебная и учебно-методическая литература;</w:t>
      </w:r>
    </w:p>
    <w:p w14:paraId="050EC0D2" w14:textId="77777777" w:rsidR="0025520D" w:rsidRPr="00E44445" w:rsidRDefault="0025520D" w:rsidP="0025520D">
      <w:pPr>
        <w:numPr>
          <w:ilvl w:val="0"/>
          <w:numId w:val="1"/>
        </w:numPr>
        <w:spacing w:line="276" w:lineRule="auto"/>
        <w:ind w:left="681" w:hanging="284"/>
        <w:jc w:val="both"/>
        <w:rPr>
          <w:sz w:val="28"/>
          <w:szCs w:val="28"/>
        </w:rPr>
      </w:pPr>
      <w:r w:rsidRPr="00E44445">
        <w:rPr>
          <w:sz w:val="28"/>
          <w:szCs w:val="28"/>
        </w:rPr>
        <w:t>рекомендованная теоретическая литература;</w:t>
      </w:r>
    </w:p>
    <w:p w14:paraId="2207D942" w14:textId="77777777" w:rsidR="0025520D" w:rsidRPr="00E44445" w:rsidRDefault="0025520D" w:rsidP="0025520D">
      <w:pPr>
        <w:numPr>
          <w:ilvl w:val="0"/>
          <w:numId w:val="1"/>
        </w:numPr>
        <w:spacing w:line="276" w:lineRule="auto"/>
        <w:ind w:left="681" w:hanging="284"/>
        <w:jc w:val="both"/>
        <w:rPr>
          <w:sz w:val="28"/>
          <w:szCs w:val="28"/>
        </w:rPr>
      </w:pPr>
      <w:r w:rsidRPr="00E44445">
        <w:rPr>
          <w:sz w:val="28"/>
          <w:szCs w:val="28"/>
        </w:rPr>
        <w:t xml:space="preserve">нормативные акты;  </w:t>
      </w:r>
    </w:p>
    <w:p w14:paraId="22268FD2" w14:textId="77777777" w:rsidR="0025520D" w:rsidRPr="00E44445" w:rsidRDefault="0025520D" w:rsidP="0025520D">
      <w:pPr>
        <w:numPr>
          <w:ilvl w:val="0"/>
          <w:numId w:val="1"/>
        </w:numPr>
        <w:spacing w:line="276" w:lineRule="auto"/>
        <w:ind w:left="681" w:hanging="284"/>
        <w:jc w:val="both"/>
        <w:rPr>
          <w:sz w:val="28"/>
          <w:szCs w:val="28"/>
        </w:rPr>
      </w:pPr>
      <w:r w:rsidRPr="00E44445">
        <w:rPr>
          <w:sz w:val="28"/>
          <w:szCs w:val="28"/>
        </w:rPr>
        <w:t xml:space="preserve">материалы судебной практики; </w:t>
      </w:r>
    </w:p>
    <w:p w14:paraId="3C6832C5" w14:textId="77777777" w:rsidR="0025520D" w:rsidRPr="00E44445" w:rsidRDefault="0025520D" w:rsidP="0025520D">
      <w:pPr>
        <w:numPr>
          <w:ilvl w:val="0"/>
          <w:numId w:val="1"/>
        </w:numPr>
        <w:spacing w:line="276" w:lineRule="auto"/>
        <w:ind w:left="681" w:hanging="284"/>
        <w:jc w:val="both"/>
        <w:rPr>
          <w:sz w:val="28"/>
          <w:szCs w:val="28"/>
        </w:rPr>
      </w:pPr>
      <w:r w:rsidRPr="00E44445">
        <w:rPr>
          <w:sz w:val="28"/>
          <w:szCs w:val="28"/>
        </w:rPr>
        <w:t>вспомогательные материалы (информационные письма, ненормативные разъяснения государственных органов, ответы на вопросы, поступающие в их адрес, и т.п.).</w:t>
      </w:r>
    </w:p>
    <w:p w14:paraId="04709459" w14:textId="77777777" w:rsidR="0025520D" w:rsidRPr="00E44445" w:rsidRDefault="0025520D" w:rsidP="0025520D">
      <w:pPr>
        <w:spacing w:line="276" w:lineRule="auto"/>
        <w:ind w:firstLine="567"/>
        <w:jc w:val="both"/>
        <w:rPr>
          <w:sz w:val="28"/>
          <w:szCs w:val="28"/>
        </w:rPr>
      </w:pPr>
      <w:r w:rsidRPr="00E44445">
        <w:rPr>
          <w:sz w:val="28"/>
          <w:szCs w:val="28"/>
        </w:rPr>
        <w:t xml:space="preserve">На основе систематизации, анализа и обобщения всех изученных материалов студент подготавливает развернутые ответы на каждый вопрос плана семинарского занятия. Конкретная методика подготовки полного текста ответа (составления расширенного или краткого письменного плана ответа, подготовка тезисов ответа и т. п.) избирается каждым студентом индивидуально. </w:t>
      </w:r>
    </w:p>
    <w:p w14:paraId="6DF7D992" w14:textId="77777777" w:rsidR="0025520D" w:rsidRPr="00E44445" w:rsidRDefault="0025520D" w:rsidP="0025520D">
      <w:pPr>
        <w:spacing w:line="276" w:lineRule="auto"/>
        <w:ind w:firstLine="567"/>
        <w:jc w:val="both"/>
        <w:rPr>
          <w:sz w:val="28"/>
          <w:szCs w:val="28"/>
        </w:rPr>
      </w:pPr>
      <w:r w:rsidRPr="00E44445">
        <w:rPr>
          <w:sz w:val="28"/>
          <w:szCs w:val="28"/>
        </w:rPr>
        <w:t xml:space="preserve">Все источники следует изучать применительно к конкретным вопросам плана семинарского занятия. Нужно научиться находить, отбирать из вспомогательных материалов и систематизировать узконаправленную информацию. Только активное изучение большинства рекомендованных </w:t>
      </w:r>
      <w:r w:rsidRPr="00E44445">
        <w:rPr>
          <w:sz w:val="28"/>
          <w:szCs w:val="28"/>
        </w:rPr>
        <w:lastRenderedPageBreak/>
        <w:t>источников позволит подготовить полный, глубокий ответ на поставленные вопросы, собрать теоретические и фактические аргументы, доказательства, материалы юридической практики, исторические и другие иллюстрации, которые доказывают, обосновывают изложенные тезисы и положения. Основная часть ответа должна быть изложена самостоятельно, с приведением лишь отдельных, наиболее существенных извлечений из рекомендованных источников.</w:t>
      </w:r>
    </w:p>
    <w:p w14:paraId="58629B91" w14:textId="77777777" w:rsidR="0025520D" w:rsidRDefault="0025520D" w:rsidP="0025520D">
      <w:pPr>
        <w:spacing w:line="276" w:lineRule="auto"/>
        <w:ind w:firstLine="567"/>
        <w:jc w:val="both"/>
        <w:rPr>
          <w:color w:val="000000"/>
          <w:sz w:val="28"/>
          <w:szCs w:val="28"/>
        </w:rPr>
      </w:pPr>
      <w:r w:rsidRPr="00E44445">
        <w:rPr>
          <w:sz w:val="28"/>
          <w:szCs w:val="28"/>
        </w:rPr>
        <w:t>Большое внимание в рамках проблемно-практической части семинарского занятия следует уделять применению теоретических знаний в процессе решения казусов и при анализе положений законодательства о социальном обеспечении. Решение практической задачи по праву социального обеспечения, как и в большинстве других юридических дисциплин не сводится к однозначному ответу на поставленный вопрос, и, как правило, должно иметь вариативный характер. Этот способ позволяет обеспечить многосторонность анализа фактических обстоятельств, прогнозировать и предугадывать позиции возможных оппонентов, интерпретировать нормы права и положения судебной практики с учетом интересов конкретной стороны предполагаемого спора, предлагать варианты развития процесса доказывания по делу и т.п.</w:t>
      </w:r>
      <w:r w:rsidRPr="00E44445">
        <w:rPr>
          <w:color w:val="000000"/>
          <w:sz w:val="28"/>
          <w:szCs w:val="28"/>
        </w:rPr>
        <w:t xml:space="preserve"> </w:t>
      </w:r>
    </w:p>
    <w:p w14:paraId="59F6E84F" w14:textId="77777777" w:rsidR="0025520D" w:rsidRPr="00E44445" w:rsidRDefault="0025520D" w:rsidP="0025520D">
      <w:pPr>
        <w:pStyle w:val="a3"/>
        <w:spacing w:line="276" w:lineRule="auto"/>
        <w:ind w:left="0" w:right="137"/>
        <w:rPr>
          <w:sz w:val="28"/>
          <w:szCs w:val="28"/>
        </w:rPr>
      </w:pPr>
      <w:r w:rsidRPr="00E44445">
        <w:rPr>
          <w:sz w:val="28"/>
          <w:szCs w:val="28"/>
        </w:rPr>
        <w:t>При решении задачи (казуса) студент должен дать анализ фактических обстоятельств, изложенных в задаче. Эти обстоятельства предполагаются установленными, поэтому, принимая решение, нужно исходить только из них.</w:t>
      </w:r>
    </w:p>
    <w:p w14:paraId="703B0858" w14:textId="77777777" w:rsidR="0025520D" w:rsidRPr="00E44445" w:rsidRDefault="0025520D" w:rsidP="0025520D">
      <w:pPr>
        <w:pStyle w:val="a3"/>
        <w:spacing w:before="1" w:line="276" w:lineRule="auto"/>
        <w:ind w:left="0" w:right="136"/>
        <w:rPr>
          <w:sz w:val="28"/>
          <w:szCs w:val="28"/>
        </w:rPr>
      </w:pPr>
      <w:r w:rsidRPr="00E44445">
        <w:rPr>
          <w:sz w:val="28"/>
          <w:szCs w:val="28"/>
        </w:rPr>
        <w:t>В ходе решения задачи на основе анализа фактических обстоятельств студент должен:</w:t>
      </w:r>
    </w:p>
    <w:p w14:paraId="23BC1C85" w14:textId="77777777" w:rsidR="0025520D" w:rsidRPr="00E44445" w:rsidRDefault="0025520D" w:rsidP="0025520D">
      <w:pPr>
        <w:pStyle w:val="a5"/>
        <w:numPr>
          <w:ilvl w:val="0"/>
          <w:numId w:val="2"/>
        </w:numPr>
        <w:tabs>
          <w:tab w:val="left" w:pos="664"/>
        </w:tabs>
        <w:spacing w:line="276" w:lineRule="auto"/>
        <w:rPr>
          <w:sz w:val="28"/>
          <w:szCs w:val="28"/>
        </w:rPr>
      </w:pPr>
      <w:r w:rsidRPr="00E44445">
        <w:rPr>
          <w:sz w:val="28"/>
          <w:szCs w:val="28"/>
        </w:rPr>
        <w:t>дать им юридическую</w:t>
      </w:r>
      <w:r w:rsidRPr="00E44445">
        <w:rPr>
          <w:spacing w:val="-4"/>
          <w:sz w:val="28"/>
          <w:szCs w:val="28"/>
        </w:rPr>
        <w:t xml:space="preserve"> </w:t>
      </w:r>
      <w:r w:rsidRPr="00E44445">
        <w:rPr>
          <w:sz w:val="28"/>
          <w:szCs w:val="28"/>
        </w:rPr>
        <w:t>оценку;</w:t>
      </w:r>
    </w:p>
    <w:p w14:paraId="029EDA3C" w14:textId="77777777" w:rsidR="0025520D" w:rsidRPr="00E44445" w:rsidRDefault="0025520D" w:rsidP="0025520D">
      <w:pPr>
        <w:pStyle w:val="a5"/>
        <w:numPr>
          <w:ilvl w:val="0"/>
          <w:numId w:val="2"/>
        </w:numPr>
        <w:tabs>
          <w:tab w:val="left" w:pos="664"/>
        </w:tabs>
        <w:spacing w:line="276" w:lineRule="auto"/>
        <w:ind w:hanging="241"/>
        <w:rPr>
          <w:sz w:val="28"/>
          <w:szCs w:val="28"/>
        </w:rPr>
      </w:pPr>
      <w:r w:rsidRPr="00E44445">
        <w:rPr>
          <w:sz w:val="28"/>
          <w:szCs w:val="28"/>
        </w:rPr>
        <w:t>правильно</w:t>
      </w:r>
      <w:r w:rsidRPr="00E44445">
        <w:rPr>
          <w:spacing w:val="-4"/>
          <w:sz w:val="28"/>
          <w:szCs w:val="28"/>
        </w:rPr>
        <w:t xml:space="preserve"> </w:t>
      </w:r>
      <w:r w:rsidRPr="00E44445">
        <w:rPr>
          <w:sz w:val="28"/>
          <w:szCs w:val="28"/>
        </w:rPr>
        <w:t>квалифицировать;</w:t>
      </w:r>
    </w:p>
    <w:p w14:paraId="2326E0F4" w14:textId="77777777" w:rsidR="0025520D" w:rsidRPr="00E44445" w:rsidRDefault="0025520D" w:rsidP="0025520D">
      <w:pPr>
        <w:pStyle w:val="a5"/>
        <w:numPr>
          <w:ilvl w:val="0"/>
          <w:numId w:val="2"/>
        </w:numPr>
        <w:tabs>
          <w:tab w:val="left" w:pos="664"/>
        </w:tabs>
        <w:spacing w:before="2" w:line="276" w:lineRule="auto"/>
        <w:ind w:left="140" w:right="138" w:firstLine="283"/>
        <w:rPr>
          <w:sz w:val="28"/>
          <w:szCs w:val="28"/>
        </w:rPr>
      </w:pPr>
      <w:r w:rsidRPr="00E44445">
        <w:rPr>
          <w:sz w:val="28"/>
          <w:szCs w:val="28"/>
        </w:rPr>
        <w:t>определить правовые нормы, на основе которых надлежит решить</w:t>
      </w:r>
      <w:r w:rsidRPr="00E44445">
        <w:rPr>
          <w:spacing w:val="-1"/>
          <w:sz w:val="28"/>
          <w:szCs w:val="28"/>
        </w:rPr>
        <w:t xml:space="preserve"> </w:t>
      </w:r>
      <w:r w:rsidRPr="00E44445">
        <w:rPr>
          <w:sz w:val="28"/>
          <w:szCs w:val="28"/>
        </w:rPr>
        <w:t>спор;</w:t>
      </w:r>
    </w:p>
    <w:p w14:paraId="2590AA1D" w14:textId="77777777" w:rsidR="0025520D" w:rsidRPr="00E44445" w:rsidRDefault="0025520D" w:rsidP="0025520D">
      <w:pPr>
        <w:pStyle w:val="a5"/>
        <w:numPr>
          <w:ilvl w:val="0"/>
          <w:numId w:val="2"/>
        </w:numPr>
        <w:tabs>
          <w:tab w:val="left" w:pos="664"/>
        </w:tabs>
        <w:spacing w:line="276" w:lineRule="auto"/>
        <w:ind w:hanging="241"/>
        <w:rPr>
          <w:sz w:val="28"/>
          <w:szCs w:val="28"/>
        </w:rPr>
      </w:pPr>
      <w:r w:rsidRPr="00E44445">
        <w:rPr>
          <w:sz w:val="28"/>
          <w:szCs w:val="28"/>
        </w:rPr>
        <w:t>правильно их</w:t>
      </w:r>
      <w:r w:rsidRPr="00E44445">
        <w:rPr>
          <w:spacing w:val="-1"/>
          <w:sz w:val="28"/>
          <w:szCs w:val="28"/>
        </w:rPr>
        <w:t xml:space="preserve"> </w:t>
      </w:r>
      <w:r w:rsidRPr="00E44445">
        <w:rPr>
          <w:sz w:val="28"/>
          <w:szCs w:val="28"/>
        </w:rPr>
        <w:t>истолковать;</w:t>
      </w:r>
    </w:p>
    <w:p w14:paraId="39DAF13A" w14:textId="77777777" w:rsidR="0025520D" w:rsidRPr="00E44445" w:rsidRDefault="0025520D" w:rsidP="0025520D">
      <w:pPr>
        <w:pStyle w:val="a5"/>
        <w:numPr>
          <w:ilvl w:val="0"/>
          <w:numId w:val="2"/>
        </w:numPr>
        <w:tabs>
          <w:tab w:val="left" w:pos="664"/>
        </w:tabs>
        <w:spacing w:line="276" w:lineRule="auto"/>
        <w:ind w:left="140" w:right="141" w:firstLine="283"/>
        <w:rPr>
          <w:sz w:val="28"/>
          <w:szCs w:val="28"/>
        </w:rPr>
      </w:pPr>
      <w:r w:rsidRPr="00E44445">
        <w:rPr>
          <w:sz w:val="28"/>
          <w:szCs w:val="28"/>
        </w:rPr>
        <w:t>юридически грамотно сформулировать решение данного казуса.</w:t>
      </w:r>
    </w:p>
    <w:p w14:paraId="1F651DFB" w14:textId="77777777" w:rsidR="0025520D" w:rsidRPr="00E44445" w:rsidRDefault="0025520D" w:rsidP="0025520D">
      <w:pPr>
        <w:spacing w:line="276" w:lineRule="auto"/>
        <w:ind w:firstLine="340"/>
        <w:jc w:val="both"/>
        <w:rPr>
          <w:spacing w:val="2"/>
          <w:sz w:val="28"/>
          <w:szCs w:val="28"/>
        </w:rPr>
      </w:pPr>
      <w:r w:rsidRPr="00E44445">
        <w:rPr>
          <w:spacing w:val="2"/>
          <w:sz w:val="28"/>
          <w:szCs w:val="28"/>
        </w:rPr>
        <w:t>Во время занятий студентам следует активно участвовать в дискуссиях, в обсуждении сообщений товарищей по группе, проблемно-познавательных ситуаций, когда требуется четко, понятно для других формулировать свою позицию, аргументировать ее, «защищаясь» от оппонентов, ставить вопросы выступающим коллегам, оценивать их ответы. Навыки ведения полемики, формирующиеся в таких обсуждениях, диспутах представляют собой составную часть профессиональной подготовки. Во время семинара желательно конспектировать все новое, что удалось услышать на занятии, дополнять и уточнять свои рабочие материалы.</w:t>
      </w:r>
    </w:p>
    <w:p w14:paraId="73E75CC3" w14:textId="77777777" w:rsidR="00DE322E" w:rsidRDefault="00DE322E"/>
    <w:sectPr w:rsidR="00DE3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966"/>
    <w:multiLevelType w:val="hybridMultilevel"/>
    <w:tmpl w:val="556C7166"/>
    <w:lvl w:ilvl="0" w:tplc="FFFFFFFF">
      <w:start w:val="1"/>
      <w:numFmt w:val="decimal"/>
      <w:lvlText w:val="%1)"/>
      <w:lvlJc w:val="left"/>
      <w:pPr>
        <w:ind w:left="663" w:hanging="240"/>
      </w:pPr>
      <w:rPr>
        <w:rFonts w:ascii="Times New Roman" w:eastAsia="Times New Roman" w:hAnsi="Times New Roman" w:cs="Times New Roman" w:hint="default"/>
        <w:w w:val="100"/>
        <w:sz w:val="22"/>
        <w:szCs w:val="22"/>
        <w:lang w:val="ru-RU" w:eastAsia="en-US" w:bidi="ar-SA"/>
      </w:rPr>
    </w:lvl>
    <w:lvl w:ilvl="1" w:tplc="FFFFFFFF">
      <w:numFmt w:val="bullet"/>
      <w:lvlText w:val="•"/>
      <w:lvlJc w:val="left"/>
      <w:pPr>
        <w:ind w:left="1257" w:hanging="240"/>
      </w:pPr>
      <w:rPr>
        <w:rFonts w:hint="default"/>
        <w:lang w:val="ru-RU" w:eastAsia="en-US" w:bidi="ar-SA"/>
      </w:rPr>
    </w:lvl>
    <w:lvl w:ilvl="2" w:tplc="FFFFFFFF">
      <w:numFmt w:val="bullet"/>
      <w:lvlText w:val="•"/>
      <w:lvlJc w:val="left"/>
      <w:pPr>
        <w:ind w:left="1854" w:hanging="240"/>
      </w:pPr>
      <w:rPr>
        <w:rFonts w:hint="default"/>
        <w:lang w:val="ru-RU" w:eastAsia="en-US" w:bidi="ar-SA"/>
      </w:rPr>
    </w:lvl>
    <w:lvl w:ilvl="3" w:tplc="FFFFFFFF">
      <w:numFmt w:val="bullet"/>
      <w:lvlText w:val="•"/>
      <w:lvlJc w:val="left"/>
      <w:pPr>
        <w:ind w:left="2451" w:hanging="240"/>
      </w:pPr>
      <w:rPr>
        <w:rFonts w:hint="default"/>
        <w:lang w:val="ru-RU" w:eastAsia="en-US" w:bidi="ar-SA"/>
      </w:rPr>
    </w:lvl>
    <w:lvl w:ilvl="4" w:tplc="FFFFFFFF">
      <w:numFmt w:val="bullet"/>
      <w:lvlText w:val="•"/>
      <w:lvlJc w:val="left"/>
      <w:pPr>
        <w:ind w:left="3049" w:hanging="240"/>
      </w:pPr>
      <w:rPr>
        <w:rFonts w:hint="default"/>
        <w:lang w:val="ru-RU" w:eastAsia="en-US" w:bidi="ar-SA"/>
      </w:rPr>
    </w:lvl>
    <w:lvl w:ilvl="5" w:tplc="FFFFFFFF">
      <w:numFmt w:val="bullet"/>
      <w:lvlText w:val="•"/>
      <w:lvlJc w:val="left"/>
      <w:pPr>
        <w:ind w:left="3646" w:hanging="240"/>
      </w:pPr>
      <w:rPr>
        <w:rFonts w:hint="default"/>
        <w:lang w:val="ru-RU" w:eastAsia="en-US" w:bidi="ar-SA"/>
      </w:rPr>
    </w:lvl>
    <w:lvl w:ilvl="6" w:tplc="FFFFFFFF">
      <w:numFmt w:val="bullet"/>
      <w:lvlText w:val="•"/>
      <w:lvlJc w:val="left"/>
      <w:pPr>
        <w:ind w:left="4243" w:hanging="240"/>
      </w:pPr>
      <w:rPr>
        <w:rFonts w:hint="default"/>
        <w:lang w:val="ru-RU" w:eastAsia="en-US" w:bidi="ar-SA"/>
      </w:rPr>
    </w:lvl>
    <w:lvl w:ilvl="7" w:tplc="FFFFFFFF">
      <w:numFmt w:val="bullet"/>
      <w:lvlText w:val="•"/>
      <w:lvlJc w:val="left"/>
      <w:pPr>
        <w:ind w:left="4840" w:hanging="240"/>
      </w:pPr>
      <w:rPr>
        <w:rFonts w:hint="default"/>
        <w:lang w:val="ru-RU" w:eastAsia="en-US" w:bidi="ar-SA"/>
      </w:rPr>
    </w:lvl>
    <w:lvl w:ilvl="8" w:tplc="FFFFFFFF">
      <w:numFmt w:val="bullet"/>
      <w:lvlText w:val="•"/>
      <w:lvlJc w:val="left"/>
      <w:pPr>
        <w:ind w:left="5438" w:hanging="240"/>
      </w:pPr>
      <w:rPr>
        <w:rFonts w:hint="default"/>
        <w:lang w:val="ru-RU" w:eastAsia="en-US" w:bidi="ar-SA"/>
      </w:rPr>
    </w:lvl>
  </w:abstractNum>
  <w:abstractNum w:abstractNumId="1" w15:restartNumberingAfterBreak="0">
    <w:nsid w:val="49CA1E27"/>
    <w:multiLevelType w:val="hybridMultilevel"/>
    <w:tmpl w:val="0A0246A6"/>
    <w:lvl w:ilvl="0" w:tplc="D3724D22">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87779065">
    <w:abstractNumId w:val="1"/>
  </w:num>
  <w:num w:numId="2" w16cid:durableId="43649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2E"/>
    <w:rsid w:val="0025520D"/>
    <w:rsid w:val="00DE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806C-2799-48D5-A71A-E99B5E03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552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5520D"/>
    <w:pPr>
      <w:ind w:left="140" w:firstLine="283"/>
      <w:jc w:val="both"/>
    </w:pPr>
  </w:style>
  <w:style w:type="character" w:customStyle="1" w:styleId="a4">
    <w:name w:val="Основной текст Знак"/>
    <w:basedOn w:val="a0"/>
    <w:link w:val="a3"/>
    <w:uiPriority w:val="1"/>
    <w:rsid w:val="0025520D"/>
    <w:rPr>
      <w:rFonts w:ascii="Times New Roman" w:eastAsia="Times New Roman" w:hAnsi="Times New Roman" w:cs="Times New Roman"/>
    </w:rPr>
  </w:style>
  <w:style w:type="paragraph" w:styleId="a5">
    <w:name w:val="List Paragraph"/>
    <w:basedOn w:val="a"/>
    <w:uiPriority w:val="1"/>
    <w:qFormat/>
    <w:rsid w:val="0025520D"/>
    <w:pPr>
      <w:ind w:left="140" w:firstLine="28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Pash</dc:creator>
  <cp:keywords/>
  <dc:description/>
  <cp:lastModifiedBy>Anat Pash</cp:lastModifiedBy>
  <cp:revision>3</cp:revision>
  <dcterms:created xsi:type="dcterms:W3CDTF">2022-11-11T04:03:00Z</dcterms:created>
  <dcterms:modified xsi:type="dcterms:W3CDTF">2022-11-11T04:05:00Z</dcterms:modified>
</cp:coreProperties>
</file>