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F9" w:rsidRPr="002C03A1" w:rsidRDefault="00A213F9" w:rsidP="00A213F9">
      <w:pPr>
        <w:pStyle w:val="a3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3A1">
        <w:rPr>
          <w:rFonts w:ascii="Times New Roman" w:hAnsi="Times New Roman" w:cs="Times New Roman"/>
          <w:b/>
          <w:sz w:val="24"/>
          <w:szCs w:val="24"/>
        </w:rPr>
        <w:t>ТЕМАТИКА (примерная) курсовых работ</w:t>
      </w:r>
    </w:p>
    <w:p w:rsidR="00A213F9" w:rsidRPr="002C03A1" w:rsidRDefault="00A213F9" w:rsidP="00A213F9">
      <w:pPr>
        <w:pStyle w:val="a3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3A1">
        <w:rPr>
          <w:rFonts w:ascii="Times New Roman" w:hAnsi="Times New Roman" w:cs="Times New Roman"/>
          <w:b/>
          <w:sz w:val="24"/>
          <w:szCs w:val="24"/>
        </w:rPr>
        <w:t>по кафедре гражданского процесса</w:t>
      </w:r>
    </w:p>
    <w:p w:rsidR="00A213F9" w:rsidRPr="002C03A1" w:rsidRDefault="00A213F9" w:rsidP="00A213F9">
      <w:pPr>
        <w:pStyle w:val="a3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3A1">
        <w:rPr>
          <w:rFonts w:ascii="Times New Roman" w:hAnsi="Times New Roman" w:cs="Times New Roman"/>
          <w:b/>
          <w:sz w:val="24"/>
          <w:szCs w:val="24"/>
        </w:rPr>
        <w:t>для студентов 1 курса ОДО ЮИ ТГУ</w:t>
      </w:r>
    </w:p>
    <w:p w:rsidR="00A213F9" w:rsidRDefault="00A213F9" w:rsidP="00A213F9">
      <w:pPr>
        <w:pStyle w:val="a3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3A1">
        <w:rPr>
          <w:rFonts w:ascii="Times New Roman" w:hAnsi="Times New Roman" w:cs="Times New Roman"/>
          <w:b/>
          <w:sz w:val="24"/>
          <w:szCs w:val="24"/>
        </w:rPr>
        <w:t>(по дисциплине «Правоохранительные органы»)</w:t>
      </w:r>
    </w:p>
    <w:p w:rsidR="00A213F9" w:rsidRDefault="00A213F9" w:rsidP="00A213F9">
      <w:pPr>
        <w:pStyle w:val="a3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3F9" w:rsidRPr="00916C89" w:rsidRDefault="00A213F9" w:rsidP="00A213F9">
      <w:pPr>
        <w:pStyle w:val="a3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C89">
        <w:rPr>
          <w:rFonts w:ascii="Times New Roman" w:hAnsi="Times New Roman" w:cs="Times New Roman"/>
          <w:b/>
          <w:sz w:val="24"/>
          <w:szCs w:val="24"/>
        </w:rPr>
        <w:t xml:space="preserve">По согласованию с преподавателем </w:t>
      </w:r>
    </w:p>
    <w:p w:rsidR="00A213F9" w:rsidRDefault="00A213F9" w:rsidP="00A213F9">
      <w:pPr>
        <w:pStyle w:val="a3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C89">
        <w:rPr>
          <w:rFonts w:ascii="Times New Roman" w:hAnsi="Times New Roman" w:cs="Times New Roman"/>
          <w:b/>
          <w:sz w:val="24"/>
          <w:szCs w:val="24"/>
        </w:rPr>
        <w:t>студент вправе выбрать иную тему курсовой работы</w:t>
      </w:r>
    </w:p>
    <w:p w:rsidR="00A213F9" w:rsidRPr="002C03A1" w:rsidRDefault="00A213F9" w:rsidP="00A213F9">
      <w:pPr>
        <w:pStyle w:val="a3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>Принципы организации судебной системы в Российской Федерации.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>Общая характеристика, назначение и правовое регулирование деятельности органов судейского сообщества в Российской Федерации.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>Особенности статуса судей в Российской Федерации: правомочия, гарантии и ограничения.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>Реформа процессуального законодательства 2019 г.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>Судейская этика: понятие, значение, источники регулирования.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>Судейское сообщество в Российской Федерации и его органы.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>Принцип независимости судей и гарантии его осуществления.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>Государственный язык судопроизводства и делопроизводства.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>Способы участия граждан в отправлении правосудия.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>Принцип состязательности и равноправия сторон.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A44">
        <w:rPr>
          <w:rFonts w:ascii="Times New Roman" w:hAnsi="Times New Roman" w:cs="Times New Roman"/>
          <w:color w:val="000000"/>
          <w:sz w:val="24"/>
          <w:szCs w:val="24"/>
        </w:rPr>
        <w:t>Роль суда в состязательном гражданском процессе.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color w:val="000000"/>
          <w:sz w:val="24"/>
          <w:szCs w:val="24"/>
        </w:rPr>
        <w:t>Современные проблемы гласности правосудия по гражданским делам.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>Право граждан на судебную защиту.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>Право граждан на квалифицированную юридическую помощь.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>Равенство граждан перед законом и судом.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судебной практики в правовом регулировании и </w:t>
      </w:r>
      <w:proofErr w:type="spellStart"/>
      <w:r w:rsidRPr="009A2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правоприменении</w:t>
      </w:r>
      <w:proofErr w:type="spellEnd"/>
      <w:r w:rsidRPr="009A2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>Статус судей: понятие и общая характеристика.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Нравственные основы судебной деятельности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>Мировые судьи в судебной системе Российской Федерации.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>Мировые судьи, порядок назначения (избрания) и полномочия.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>Организация, система и полномочия судов общей юрисдикции в Российской Федерации.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>Районный (городской) суд – основное звено судебной системы в РФ.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>Областной (краевой) суд, его структура и полномочия.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>Верховный Суд РФ, структура и полномочия.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>Система и полномочия органов Судебного департамента при Верховном Суде Российской Федерации.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>Основные этапы становления и развития арбитражных судов.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>Актуальные проблемы организации и деятельности арбитражных судов в Российской Федерации.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>Структура арбитражных судов субъектов федерации, их полномочия.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>Апелляционные арбитражные суды.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>Арбитражные суды округов: состав, порядок формирования, требования, предъявляемые к кандидатам на должность судей.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>Правовой статус арбитражных заседателей в Российской Федерации.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>Организационное обеспечение деятельности судов.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>Понятие и система адвокатуры и ее задачи. Виды юридической помощи, оказываемой адвокатами населению.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>Назначение и принципы деятельности адвокатуры как института гражданского общества.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>Правовой статус адвоката в России.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>Правовое положение стажеров и помощников адвоката в Российской Федерации.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lastRenderedPageBreak/>
        <w:t>Адвокатская этика: понятие и значение.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>Адвокатская тайна: понятие и значение.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>Порядок и особенности оказания бесплатной юридической помощи гражданам Российской Федерации.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>Коллегия адвокатов: особенности организации и деятельности.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>Адвокатское бюро: особенности организации и деятельности.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>Адвокатский кабинет: особенности организации и деятельности.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>Юридическая консультация: особенности организации и деятельности.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>Понятие нотариата, его система, задачи и принципы деятельности.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A2A44">
        <w:rPr>
          <w:rFonts w:ascii="Times New Roman" w:eastAsia="Calibri" w:hAnsi="Times New Roman" w:cs="Times New Roman"/>
          <w:iCs/>
          <w:sz w:val="24"/>
          <w:szCs w:val="24"/>
        </w:rPr>
        <w:t>Понятие нотариата, его роль и значение в защите гражданских прав.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A2A44">
        <w:rPr>
          <w:rFonts w:ascii="Times New Roman" w:eastAsia="Calibri" w:hAnsi="Times New Roman" w:cs="Times New Roman"/>
          <w:iCs/>
          <w:sz w:val="24"/>
          <w:szCs w:val="24"/>
        </w:rPr>
        <w:t>Становление и развитие современного нотариата в Российской Федерации.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A2A44">
        <w:rPr>
          <w:rFonts w:ascii="Times New Roman" w:eastAsia="Calibri" w:hAnsi="Times New Roman" w:cs="Times New Roman"/>
          <w:iCs/>
          <w:sz w:val="24"/>
          <w:szCs w:val="24"/>
        </w:rPr>
        <w:t>Понятие, значение и виды нотариата в Российской Федерации.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 xml:space="preserve">Нотариат в системе общего права: задачи, функции, место и роль нотариата. 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>Нотариат и правосудие по законодательству Российской Федерации: задачи, функции, соотношение.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 xml:space="preserve">Место правового института нотариата в правовой системе России. 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A2A44">
        <w:rPr>
          <w:rFonts w:ascii="Times New Roman" w:eastAsia="Calibri" w:hAnsi="Times New Roman" w:cs="Times New Roman"/>
          <w:iCs/>
          <w:sz w:val="24"/>
          <w:szCs w:val="24"/>
        </w:rPr>
        <w:t xml:space="preserve">Субъекты права на совершение нотариальных действий. 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A2A44">
        <w:rPr>
          <w:rFonts w:ascii="Times New Roman" w:eastAsia="Calibri" w:hAnsi="Times New Roman" w:cs="Times New Roman"/>
          <w:iCs/>
          <w:sz w:val="24"/>
          <w:szCs w:val="24"/>
        </w:rPr>
        <w:t>Основные правила доступа к профессии нотариуса.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A2A44">
        <w:rPr>
          <w:rFonts w:ascii="Times New Roman" w:eastAsia="Calibri" w:hAnsi="Times New Roman" w:cs="Times New Roman"/>
          <w:iCs/>
          <w:sz w:val="24"/>
          <w:szCs w:val="24"/>
        </w:rPr>
        <w:t>Правовой статус нотариуса в Российской Федерации.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A2A44">
        <w:rPr>
          <w:rFonts w:ascii="Times New Roman" w:eastAsia="Calibri" w:hAnsi="Times New Roman" w:cs="Times New Roman"/>
          <w:iCs/>
          <w:sz w:val="24"/>
          <w:szCs w:val="24"/>
        </w:rPr>
        <w:t>Профессиональная этика нотариуса.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 xml:space="preserve">Лица, совершающие нотариальные действия. 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>Профессия нотариуса в РФ.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 xml:space="preserve">Гарантии нотариальной деятельности. 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 xml:space="preserve">Формы </w:t>
      </w:r>
      <w:proofErr w:type="gramStart"/>
      <w:r w:rsidRPr="009A2A4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A2A44">
        <w:rPr>
          <w:rFonts w:ascii="Times New Roman" w:hAnsi="Times New Roman" w:cs="Times New Roman"/>
          <w:sz w:val="24"/>
          <w:szCs w:val="24"/>
        </w:rPr>
        <w:t xml:space="preserve"> деятельностью нотариусов.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 xml:space="preserve">Виды ответственности нотариуса: дисциплинарная, гражданско-правовая, налоговая, уголовная. 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 xml:space="preserve">Правовое положение сотрудников нотариальной конторы. 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 xml:space="preserve">Требования к нотариальному обслуживанию населения. Финансирование нотариальной деятельности. 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 xml:space="preserve">Профессиональные объединения нотариусов: отечественный и зарубежный опыт.  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 xml:space="preserve">Нотариальный округ как форма организации нотариальной деятельности. 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A2A44">
        <w:rPr>
          <w:rFonts w:ascii="Times New Roman" w:eastAsia="Calibri" w:hAnsi="Times New Roman" w:cs="Times New Roman"/>
          <w:iCs/>
          <w:sz w:val="24"/>
          <w:szCs w:val="24"/>
        </w:rPr>
        <w:t>Нотариальные палаты как профессиональные объединения нотариусов (понятие, функции, значение).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 xml:space="preserve">Федеральная нотариальная палата. 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>Информационные технологии в нотариальной деятельности.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>Единая информационная система нотариата.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 xml:space="preserve">Участие нотариусов в электронном документообороте: проблемы и перспективы развития. 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 xml:space="preserve">Организация деятельности нотариата в зарубежных странах.  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>Международные организации нотариата.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 xml:space="preserve">Нотариат и нотариальная деятельность в Германии. 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 xml:space="preserve">Нотариат и нотариальная деятельность в Италии. 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>Нотариат и нотариальная деятельность во Франции.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 xml:space="preserve">Нотариат и нотариальная деятельность в странах англо-саксонской системы права. 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>Нотариат и нотариальная деятельность во Франции.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 xml:space="preserve">Сравнительно-правовой анализ института нотариата в Российской Федерации и Республике Казахстан. 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>Федеральная служба судебных приставов Российской Федерации: задачи, порядок организации и деятельности.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eastAsia="Calibri" w:hAnsi="Times New Roman" w:cs="Times New Roman"/>
          <w:iCs/>
          <w:sz w:val="24"/>
          <w:szCs w:val="24"/>
        </w:rPr>
        <w:t>Правовой статус Федеральной службы судебных приставов.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>Различия статуса судебного пристава и судебного пристава-исполнителя.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color w:val="000000"/>
          <w:sz w:val="24"/>
          <w:szCs w:val="24"/>
        </w:rPr>
        <w:t>История развития третейских судов в России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lastRenderedPageBreak/>
        <w:t>Третейские суды: задачи, компетенция, особенности организации деятельности.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hAnsi="Times New Roman" w:cs="Times New Roman"/>
          <w:sz w:val="24"/>
          <w:szCs w:val="24"/>
        </w:rPr>
        <w:t>Порядок разбирательства дел в третейском суде.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eastAsia="Calibri" w:hAnsi="Times New Roman" w:cs="Times New Roman"/>
          <w:iCs/>
          <w:sz w:val="24"/>
          <w:szCs w:val="24"/>
        </w:rPr>
        <w:t>Сущность и значение третейского разбирательства (арбитража).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eastAsia="Calibri" w:hAnsi="Times New Roman" w:cs="Times New Roman"/>
          <w:iCs/>
          <w:sz w:val="24"/>
          <w:szCs w:val="24"/>
        </w:rPr>
        <w:t>Виды третейских судов и правовое значение их классификации.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A44">
        <w:rPr>
          <w:rFonts w:ascii="Times New Roman" w:eastAsia="Calibri" w:hAnsi="Times New Roman" w:cs="Times New Roman"/>
          <w:iCs/>
          <w:sz w:val="24"/>
          <w:szCs w:val="24"/>
        </w:rPr>
        <w:t>Принципы третейского разбирательства и их сравнение с принципами гражданского (арбитражного) процесса.</w:t>
      </w:r>
    </w:p>
    <w:p w:rsidR="00A213F9" w:rsidRPr="009A2A44" w:rsidRDefault="00A213F9" w:rsidP="00A213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A44">
        <w:rPr>
          <w:rFonts w:ascii="Times New Roman" w:eastAsia="Calibri" w:hAnsi="Times New Roman" w:cs="Times New Roman"/>
          <w:iCs/>
          <w:sz w:val="24"/>
          <w:szCs w:val="24"/>
        </w:rPr>
        <w:t>Порядок формирования состава третейского суда.</w:t>
      </w:r>
    </w:p>
    <w:p w:rsidR="008734EF" w:rsidRDefault="008734EF">
      <w:bookmarkStart w:id="0" w:name="_GoBack"/>
      <w:bookmarkEnd w:id="0"/>
    </w:p>
    <w:sectPr w:rsidR="00873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71815"/>
    <w:multiLevelType w:val="hybridMultilevel"/>
    <w:tmpl w:val="038A1F46"/>
    <w:lvl w:ilvl="0" w:tplc="27B83CC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827"/>
    <w:rsid w:val="000A1827"/>
    <w:rsid w:val="008734EF"/>
    <w:rsid w:val="00A2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3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3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4735</Characters>
  <Application>Microsoft Office Word</Application>
  <DocSecurity>0</DocSecurity>
  <Lines>39</Lines>
  <Paragraphs>11</Paragraphs>
  <ScaleCrop>false</ScaleCrop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2022-09-29T03:17:00Z</dcterms:created>
  <dcterms:modified xsi:type="dcterms:W3CDTF">2022-09-29T03:17:00Z</dcterms:modified>
</cp:coreProperties>
</file>