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814"/>
        <w:gridCol w:w="765"/>
        <w:gridCol w:w="5025"/>
      </w:tblGrid>
      <w:tr w:rsidR="00FC4C07" w:rsidRPr="00FC4C07" w:rsidTr="00FC4C07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 и регистрация по ссылке</w:t>
            </w:r>
          </w:p>
        </w:tc>
      </w:tr>
      <w:tr w:rsidR="00FC4C07" w:rsidRPr="00FC4C07" w:rsidTr="00FC4C07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Направление: Педагогика, психология, педагогические технологии</w:t>
            </w:r>
          </w:p>
        </w:tc>
      </w:tr>
      <w:tr w:rsidR="00FC4C07" w:rsidRPr="00FC4C07" w:rsidTr="00FC4C07">
        <w:trPr>
          <w:trHeight w:val="81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технологии интеграции МООК в учебный процесс по дисциплине (72 часа)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21.09 – 10.10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https://docs.google.com/forms/d/e/1FAIpQLSeskUEKqaQ_waA-hvZhDgNdpbfQD4iG_5A6zmFtk_BqBvSU0Q/viewform?usp=sf_link</w:t>
              </w:r>
            </w:hyperlink>
          </w:p>
        </w:tc>
      </w:tr>
      <w:tr w:rsidR="00FC4C07" w:rsidRPr="00FC4C07" w:rsidTr="00FC4C07">
        <w:trPr>
          <w:trHeight w:val="9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образовательный процесс: тенденции развития, технологии проектирования* (обязательный модуль программы 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Передовые технологии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обучения</w:t>
            </w:r>
            <w:r w:rsidRPr="00FC4C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36 часов)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19.10 – 31.10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https://docs.google.com/forms/d/e/1FAIpQLScNSeydh2jVolybjfw1o4DlMepwphqRhhZcXXYjwZ9vvhYSTA/viewform?usp=sf_link</w:t>
              </w:r>
            </w:hyperlink>
          </w:p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Модуль: Технологии формирования и курирования современного образовательного контента* (Модуль по выбору программы 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Передовые технологии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обучения</w:t>
            </w:r>
            <w:r w:rsidRPr="00FC4C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36 часов)</w:t>
            </w:r>
          </w:p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трека на выбор:</w:t>
            </w:r>
          </w:p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технологии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самозаписи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встраивания в учебный процесс</w:t>
            </w:r>
          </w:p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Текстовая лекция:</w:t>
            </w: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технологии создания современного электронного текста (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Лонгрид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Tilda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Лекция LMS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Moodle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презентации </w:t>
            </w: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PPT</w:t>
            </w: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30.11 –12.12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https://docs.google.com/forms/d/e/1FAIpQLSe_47iwlmsCbzXGMwj8HZA6w5CZoT-uf4lxe7sChn3j0pj8Bw/viewform?usp=sf_link</w:t>
              </w:r>
            </w:hyperlink>
          </w:p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4C07" w:rsidRPr="00FC4C07" w:rsidTr="00FC4C07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Направление: Организация образовательной деятельности</w:t>
            </w:r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«Технологии проектирования конкурентоспособных   образовательных программ» - модульная </w:t>
            </w:r>
          </w:p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1. Основы проектирования ОПОП на основе СУОС ТГУ, ФГОС и профессиональных стандартов (54 часа)</w:t>
            </w:r>
          </w:p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2. Разработка документов планирования </w:t>
            </w: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 в ТГУ (18 часов)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09.11 – 30.12</w:t>
            </w:r>
          </w:p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30.12 – 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https://docs.google.com/forms/d/e/1FAIpQLSevX6BuecAaht9ryugx37ndbjP7wSCes7EkwuaGTm-DvVTHcA/viewform?usp=sf_link</w:t>
              </w:r>
            </w:hyperlink>
          </w:p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учебного процесса инвалидов и людей с ограниченными возможностями здоровья в ВУЗе (36 часов)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16.11 – 30.11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https://docs.google.com/forms/d/e/1FAIpQLScr-_Yj6Qhi38H6BUNrqUA4C-9p2S0tfRUJymA9adVJFBCoXw/viewform?usp=sf_link</w:t>
              </w:r>
            </w:hyperlink>
          </w:p>
        </w:tc>
      </w:tr>
      <w:tr w:rsidR="00FC4C07" w:rsidRPr="00FC4C07" w:rsidTr="00FC4C07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Направление: ИКТ в преподавании</w:t>
            </w:r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Moodle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учебном процессе: начальный уровень – 72 часа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28.09 –31.10</w:t>
            </w:r>
          </w:p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19.10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 – 21.11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https://docs.google.com/forms/d/e/1FAIpQLSeiHNLlzDEVYGLgzzzzUf7ae6DPp-t77GoWCQBvvNAJrKlLRw/viewform?usp=sf_link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СДО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Moodle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учебном процессе кафедры (продвинутый уровень)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28.09 – 26.10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0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https://docs.google.com/forms/d/e/1FAIpQLSdX9-HQUKOBon1UTdr8vtf9wur5wJepmx0HV_j5CjEJLOnr0g/viewform?usp=sf_link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электронного обучения: организация, управление и развитие в учебном подразделении (72 часа)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19.10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 – 21.11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https://docs.google.com/forms/d/e/1FAIpQLSeOgqQ7pHM425LSw0HCwAcxKcqyFMoOWkH6hC-TAoLhitEioA/viewform?usp=sf_link</w:t>
              </w:r>
            </w:hyperlink>
          </w:p>
        </w:tc>
      </w:tr>
      <w:tr w:rsidR="00FC4C07" w:rsidRPr="00FC4C07" w:rsidTr="00FC4C07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Направление: Иностранные языки</w:t>
            </w:r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в университетской среде*: – 108 часов группы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Pre-Intermediate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Intermediate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Upper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Intermediate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12.10 - 30.01.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2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https://docs.google.com/forms/d/e/1FAIpQLScDMvtYtOUtQaj_n-koGqw2-XKEelB02VzXqkEw-yzi46txrg/viewform?usp=sf_link</w:t>
              </w:r>
            </w:hyperlink>
          </w:p>
        </w:tc>
      </w:tr>
      <w:tr w:rsidR="00FC4C07" w:rsidRPr="00FC4C07" w:rsidTr="00FC4C07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Направление: Дополнительные компетенции и личностный рост</w:t>
            </w:r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 (40 часов)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21.09-09.10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3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https://docs.google.com/forms/d/e/1FAIpQLSfe-zKx5KlvJ0RsdXpMC-q8GKyJVSp8Rd4y9aEQ9X7719ki_g/viewform?usp=sf_link</w:t>
              </w:r>
            </w:hyperlink>
          </w:p>
        </w:tc>
      </w:tr>
      <w:tr w:rsidR="00FC4C07" w:rsidRPr="00FC4C07" w:rsidTr="00FC4C07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Межуниверситеская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программа Большого университета «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Профессиональная деятельность педагога в условиях современного образования» (72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часа)*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* - </w:t>
            </w:r>
            <w:r w:rsidRPr="00FC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онлайн модуля на выбор с 19 октября по 12 декабря</w:t>
            </w:r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Современный образовательный процесс: тенденции развития и технологии проектирования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19.10 – 31.10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4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https://docs.google.com/forms/d/e/1FAIpQLScNSeydh2jVolybjfw1o4DlMepwphqRhhZcXXYjwZ9vvhYSTA/viewform?usp=sf_link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ТГПУ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 педагогические технологии проведения современного занятия на основе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5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ТУСУР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преподаватель: роли, функции, имидж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6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персональной образовательной среды преподавателя (портфолио, оценка результатов обучения, разработка УММ, самообразование и т.д.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7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Смешанное обучение в вузе: проектирование и реализация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8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ТГАСУ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Облачный офис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ТГАСУ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Инструменты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Moodle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инженерных и расчетных дисциплин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0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ТУСУР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интерактивного учебного контента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1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Инструменты и сервисы взаимодействия в онлайн-обучении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2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ТГПУ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Психолого</w:t>
            </w:r>
            <w:proofErr w:type="spellEnd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педагогическое сопровождение обучающихся с ОВЗ в условиях инклюзивного образования в соответствии с требованиями ФГОС 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3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СибГМУ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Технологии </w:t>
            </w: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грантрайтинга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4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  <w:tr w:rsidR="00FC4C07" w:rsidRPr="00FC4C07" w:rsidTr="00FC4C0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СибГМУ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инноваций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  с</w:t>
            </w:r>
            <w:proofErr w:type="gramEnd"/>
            <w:r w:rsidRPr="00FC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19.10-12.12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7" w:rsidRPr="00FC4C07" w:rsidRDefault="00FC4C07" w:rsidP="00FC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5" w:tgtFrame="_blank" w:history="1">
              <w:r w:rsidRPr="00FC4C07">
                <w:rPr>
                  <w:rFonts w:ascii="Times New Roman" w:eastAsia="Times New Roman" w:hAnsi="Times New Roman" w:cs="Times New Roman"/>
                  <w:color w:val="990099"/>
                  <w:sz w:val="16"/>
                  <w:szCs w:val="16"/>
                  <w:u w:val="single"/>
                  <w:lang w:eastAsia="ru-RU"/>
                </w:rPr>
                <w:t>https://docs.google.com/forms/d/e/1FAIpQLSfO9YFgo3olhCVmsD0XJjclVvamUZ1iPZMSvfQ_3FjNBbndoA/viewform?usp=sf_link</w:t>
              </w:r>
            </w:hyperlink>
          </w:p>
        </w:tc>
      </w:tr>
    </w:tbl>
    <w:p w:rsidR="00FC4C07" w:rsidRPr="00FC4C07" w:rsidRDefault="00FC4C07" w:rsidP="00FC4C07">
      <w:pPr>
        <w:shd w:val="clear" w:color="auto" w:fill="FFFFFF"/>
        <w:spacing w:line="235" w:lineRule="atLeast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4C0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C4C07" w:rsidRPr="00FC4C07" w:rsidRDefault="00FC4C07" w:rsidP="00FC4C07">
      <w:pPr>
        <w:shd w:val="clear" w:color="auto" w:fill="FFFFFF"/>
        <w:spacing w:line="235" w:lineRule="atLeast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Обращаем ваше внимание, что согласно </w:t>
      </w:r>
      <w:proofErr w:type="gramStart"/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решению</w:t>
      </w:r>
      <w:proofErr w:type="gramEnd"/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 ТГУ от 25.09.2019 программа ПК «Передовые   технологии обучения» является приоритетной при конкурсном отборе на преподавательские должности ТГУ. Программа состоит из базового модуля «Современный образовательный процесс: тенденции развития, технологии проектирования» и трех модулей на выбор, набрать которые можно в течение 2 лет. Учебный план программы </w:t>
      </w:r>
      <w:hyperlink r:id="rId26" w:tgtFrame="_blank" w:history="1"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https</w:t>
        </w:r>
      </w:hyperlink>
      <w:hyperlink r:id="rId27" w:tgtFrame="_blank" w:history="1"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://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drive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.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google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.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com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/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file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/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d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/1</w:t>
        </w:r>
        <w:proofErr w:type="spellStart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RuCPulV</w:t>
        </w:r>
        <w:proofErr w:type="spellEnd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8</w:t>
        </w:r>
        <w:proofErr w:type="spellStart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uwK</w:t>
        </w:r>
        <w:proofErr w:type="spellEnd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9</w:t>
        </w:r>
        <w:proofErr w:type="spellStart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DkR</w:t>
        </w:r>
        <w:proofErr w:type="spellEnd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6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GFV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8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H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06</w:t>
        </w:r>
        <w:proofErr w:type="spellStart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wjn</w:t>
        </w:r>
        <w:proofErr w:type="spellEnd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02</w:t>
        </w:r>
        <w:proofErr w:type="spellStart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Fn</w:t>
        </w:r>
        <w:proofErr w:type="spellEnd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7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B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/</w:t>
        </w:r>
        <w:proofErr w:type="gramStart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view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?</w:t>
        </w:r>
        <w:proofErr w:type="spellStart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usp</w:t>
        </w:r>
        <w:proofErr w:type="spellEnd"/>
        <w:proofErr w:type="gramEnd"/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=</w:t>
        </w:r>
        <w:r w:rsidRPr="00FC4C0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val="en-US" w:eastAsia="ru-RU"/>
          </w:rPr>
          <w:t>sharing</w:t>
        </w:r>
      </w:hyperlink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FC4C07" w:rsidRPr="00FC4C07" w:rsidRDefault="00FC4C07" w:rsidP="00FC4C07">
      <w:pPr>
        <w:shd w:val="clear" w:color="auto" w:fill="FFFFFF"/>
        <w:spacing w:line="235" w:lineRule="atLeast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Программа </w:t>
      </w:r>
      <w:r w:rsidRPr="00FC4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C4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Профессиональная деятельность педагога в условиях современного образования» (72 часа) </w:t>
      </w:r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состоит из модулей от 6 вузов - участников Проекта Большой университет Томска. Для аттестации по программе необходимо выбрать 3 любых небольших модуля, реализуемых в онлайн-формате с 19 октября по 12 декабря 2020 года по отдельному расписанию. Модули предоставлены лучшими командами ДПО от 6 вузов Томска. </w:t>
      </w:r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вопросы: по телефону 52- 97- 99</w:t>
      </w:r>
    </w:p>
    <w:p w:rsidR="00FC4C07" w:rsidRPr="00FC4C07" w:rsidRDefault="00FC4C07" w:rsidP="00FC4C07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hyperlink r:id="rId28" w:history="1"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sbv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@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ido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tsu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Светлана Борисовна </w:t>
      </w:r>
      <w:proofErr w:type="spellStart"/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Велединская</w:t>
      </w:r>
      <w:proofErr w:type="spellEnd"/>
    </w:p>
    <w:p w:rsidR="00FC4C07" w:rsidRPr="00FC4C07" w:rsidRDefault="00FC4C07" w:rsidP="00FC4C07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ru-RU"/>
        </w:rPr>
      </w:pPr>
      <w:hyperlink r:id="rId29" w:history="1"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karpenko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@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ido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tsu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C4C0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C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Ирина Ивановна Карпенко</w:t>
      </w:r>
    </w:p>
    <w:p w:rsidR="00A312E6" w:rsidRDefault="00A312E6">
      <w:bookmarkStart w:id="0" w:name="_GoBack"/>
      <w:bookmarkEnd w:id="0"/>
    </w:p>
    <w:sectPr w:rsidR="00A3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0E"/>
    <w:rsid w:val="00A312E6"/>
    <w:rsid w:val="00B2780E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C3E99-3036-4BFD-A9C3-AE89ECE6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8bf8a64b8551e1msonormal">
    <w:name w:val="228bf8a64b8551e1msonormal"/>
    <w:basedOn w:val="Normal"/>
    <w:rsid w:val="00FC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DefaultParagraphFont"/>
    <w:rsid w:val="00FC4C07"/>
  </w:style>
  <w:style w:type="character" w:styleId="Hyperlink">
    <w:name w:val="Hyperlink"/>
    <w:basedOn w:val="DefaultParagraphFont"/>
    <w:uiPriority w:val="99"/>
    <w:semiHidden/>
    <w:unhideWhenUsed/>
    <w:rsid w:val="00FC4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r-_Yj6Qhi38H6BUNrqUA4C-9p2S0tfRUJymA9adVJFBCoXw/viewform?usp=sf_link" TargetMode="External"/><Relationship Id="rId13" Type="http://schemas.openxmlformats.org/officeDocument/2006/relationships/hyperlink" Target="https://docs.google.com/forms/d/e/1FAIpQLSfe-zKx5KlvJ0RsdXpMC-q8GKyJVSp8Rd4y9aEQ9X7719ki_g/viewform?usp=sf_link" TargetMode="External"/><Relationship Id="rId18" Type="http://schemas.openxmlformats.org/officeDocument/2006/relationships/hyperlink" Target="https://docs.google.com/forms/d/e/1FAIpQLSfO9YFgo3olhCVmsD0XJjclVvamUZ1iPZMSvfQ_3FjNBbndoA/viewform?usp=sf_link" TargetMode="External"/><Relationship Id="rId26" Type="http://schemas.openxmlformats.org/officeDocument/2006/relationships/hyperlink" Target="https://drive.google.com/file/d/1RuCPulV8uwK9DkR6GFV8H06wjn02Fn7B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forms/d/e/1FAIpQLSfO9YFgo3olhCVmsD0XJjclVvamUZ1iPZMSvfQ_3FjNBbndoA/viewform?usp=sf_link" TargetMode="External"/><Relationship Id="rId7" Type="http://schemas.openxmlformats.org/officeDocument/2006/relationships/hyperlink" Target="https://docs.google.com/forms/d/e/1FAIpQLSevX6BuecAaht9ryugx37ndbjP7wSCes7EkwuaGTm-DvVTHcA/viewform?usp=sf_link" TargetMode="External"/><Relationship Id="rId12" Type="http://schemas.openxmlformats.org/officeDocument/2006/relationships/hyperlink" Target="https://docs.google.com/forms/d/e/1FAIpQLScDMvtYtOUtQaj_n-koGqw2-XKEelB02VzXqkEw-yzi46txrg/viewform?usp=sf_link" TargetMode="External"/><Relationship Id="rId17" Type="http://schemas.openxmlformats.org/officeDocument/2006/relationships/hyperlink" Target="https://docs.google.com/forms/d/e/1FAIpQLSfO9YFgo3olhCVmsD0XJjclVvamUZ1iPZMSvfQ_3FjNBbndoA/viewform?usp=sf_link" TargetMode="External"/><Relationship Id="rId25" Type="http://schemas.openxmlformats.org/officeDocument/2006/relationships/hyperlink" Target="https://docs.google.com/forms/d/e/1FAIpQLSfO9YFgo3olhCVmsD0XJjclVvamUZ1iPZMSvfQ_3FjNBbndoA/viewform?usp=sf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fO9YFgo3olhCVmsD0XJjclVvamUZ1iPZMSvfQ_3FjNBbndoA/viewform?usp=sf_link" TargetMode="External"/><Relationship Id="rId20" Type="http://schemas.openxmlformats.org/officeDocument/2006/relationships/hyperlink" Target="https://docs.google.com/forms/d/e/1FAIpQLSfO9YFgo3olhCVmsD0XJjclVvamUZ1iPZMSvfQ_3FjNBbndoA/viewform?usp=sf_link" TargetMode="External"/><Relationship Id="rId29" Type="http://schemas.openxmlformats.org/officeDocument/2006/relationships/hyperlink" Target="mailto:karpenko@ido.ts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_47iwlmsCbzXGMwj8HZA6w5CZoT-uf4lxe7sChn3j0pj8Bw/viewform?usp=sf_link" TargetMode="External"/><Relationship Id="rId11" Type="http://schemas.openxmlformats.org/officeDocument/2006/relationships/hyperlink" Target="https://docs.google.com/forms/d/e/1FAIpQLSeOgqQ7pHM425LSw0HCwAcxKcqyFMoOWkH6hC-TAoLhitEioA/viewform?usp=sf_link" TargetMode="External"/><Relationship Id="rId24" Type="http://schemas.openxmlformats.org/officeDocument/2006/relationships/hyperlink" Target="https://docs.google.com/forms/d/e/1FAIpQLSfO9YFgo3olhCVmsD0XJjclVvamUZ1iPZMSvfQ_3FjNBbndoA/viewform?usp=sf_link" TargetMode="External"/><Relationship Id="rId5" Type="http://schemas.openxmlformats.org/officeDocument/2006/relationships/hyperlink" Target="https://docs.google.com/forms/d/e/1FAIpQLScNSeydh2jVolybjfw1o4DlMepwphqRhhZcXXYjwZ9vvhYSTA/viewform?usp=sf_link" TargetMode="External"/><Relationship Id="rId15" Type="http://schemas.openxmlformats.org/officeDocument/2006/relationships/hyperlink" Target="https://docs.google.com/forms/d/e/1FAIpQLSfO9YFgo3olhCVmsD0XJjclVvamUZ1iPZMSvfQ_3FjNBbndoA/viewform?usp=sf_link" TargetMode="External"/><Relationship Id="rId23" Type="http://schemas.openxmlformats.org/officeDocument/2006/relationships/hyperlink" Target="https://docs.google.com/forms/d/e/1FAIpQLSfO9YFgo3olhCVmsD0XJjclVvamUZ1iPZMSvfQ_3FjNBbndoA/viewform?usp=sf_link" TargetMode="External"/><Relationship Id="rId28" Type="http://schemas.openxmlformats.org/officeDocument/2006/relationships/hyperlink" Target="mailto:sbv@ido.tsu.ru" TargetMode="External"/><Relationship Id="rId10" Type="http://schemas.openxmlformats.org/officeDocument/2006/relationships/hyperlink" Target="https://docs.google.com/forms/d/e/1FAIpQLSdX9-HQUKOBon1UTdr8vtf9wur5wJepmx0HV_j5CjEJLOnr0g/viewform?usp=sf_link" TargetMode="External"/><Relationship Id="rId19" Type="http://schemas.openxmlformats.org/officeDocument/2006/relationships/hyperlink" Target="https://docs.google.com/forms/d/e/1FAIpQLSfO9YFgo3olhCVmsD0XJjclVvamUZ1iPZMSvfQ_3FjNBbndoA/viewform?usp=sf_lin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docs.google.com/forms/d/e/1FAIpQLSeskUEKqaQ_waA-hvZhDgNdpbfQD4iG_5A6zmFtk_BqBvSU0Q/viewform?usp=sf_link" TargetMode="External"/><Relationship Id="rId9" Type="http://schemas.openxmlformats.org/officeDocument/2006/relationships/hyperlink" Target="https://docs.google.com/forms/d/e/1FAIpQLSeiHNLlzDEVYGLgzzzzUf7ae6DPp-t77GoWCQBvvNAJrKlLRw/viewform?usp=sf_link" TargetMode="External"/><Relationship Id="rId14" Type="http://schemas.openxmlformats.org/officeDocument/2006/relationships/hyperlink" Target="https://docs.google.com/forms/d/e/1FAIpQLScNSeydh2jVolybjfw1o4DlMepwphqRhhZcXXYjwZ9vvhYSTA/viewform?usp=sf_link" TargetMode="External"/><Relationship Id="rId22" Type="http://schemas.openxmlformats.org/officeDocument/2006/relationships/hyperlink" Target="https://docs.google.com/forms/d/e/1FAIpQLSfO9YFgo3olhCVmsD0XJjclVvamUZ1iPZMSvfQ_3FjNBbndoA/viewform?usp=sf_link" TargetMode="External"/><Relationship Id="rId27" Type="http://schemas.openxmlformats.org/officeDocument/2006/relationships/hyperlink" Target="https://drive.google.com/file/d/1RuCPulV8uwK9DkR6GFV8H06wjn02Fn7B/view?usp=shar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2020-09-17T22:27:00Z</dcterms:created>
  <dcterms:modified xsi:type="dcterms:W3CDTF">2020-09-17T22:28:00Z</dcterms:modified>
</cp:coreProperties>
</file>