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B0" w:rsidRDefault="00DD0EB0" w:rsidP="00DD0EB0">
      <w:pPr>
        <w:jc w:val="center"/>
        <w:rPr>
          <w:rFonts w:eastAsia="Arial" w:cs="Times New Roman"/>
          <w:b/>
          <w:iCs/>
          <w:color w:val="231F20"/>
          <w:lang w:eastAsia="ar-SA" w:bidi="ar-SA"/>
        </w:rPr>
      </w:pPr>
      <w:r>
        <w:rPr>
          <w:rFonts w:eastAsia="Arial" w:cs="Times New Roman"/>
          <w:b/>
          <w:iCs/>
          <w:color w:val="231F20"/>
          <w:lang w:eastAsia="ar-SA" w:bidi="ar-SA"/>
        </w:rPr>
        <w:t>Примерный перечень в</w:t>
      </w:r>
      <w:r>
        <w:rPr>
          <w:rFonts w:eastAsia="Arial" w:cs="Times New Roman"/>
          <w:b/>
          <w:iCs/>
          <w:color w:val="231F20"/>
          <w:lang w:eastAsia="ar-SA" w:bidi="ar-SA"/>
        </w:rPr>
        <w:t>опрос</w:t>
      </w:r>
      <w:r>
        <w:rPr>
          <w:rFonts w:eastAsia="Arial" w:cs="Times New Roman"/>
          <w:b/>
          <w:iCs/>
          <w:color w:val="231F20"/>
          <w:lang w:eastAsia="ar-SA" w:bidi="ar-SA"/>
        </w:rPr>
        <w:t>ов</w:t>
      </w:r>
      <w:r>
        <w:rPr>
          <w:rFonts w:eastAsia="Arial" w:cs="Times New Roman"/>
          <w:b/>
          <w:iCs/>
          <w:color w:val="231F20"/>
          <w:lang w:eastAsia="ar-SA" w:bidi="ar-SA"/>
        </w:rPr>
        <w:t xml:space="preserve"> для подготовки к зачету</w:t>
      </w:r>
      <w:r>
        <w:rPr>
          <w:rFonts w:eastAsia="Arial" w:cs="Times New Roman"/>
          <w:b/>
          <w:iCs/>
          <w:color w:val="231F20"/>
          <w:lang w:eastAsia="ar-SA" w:bidi="ar-SA"/>
        </w:rPr>
        <w:t xml:space="preserve"> по дисциплине «Гражданское право (ч. </w:t>
      </w:r>
      <w:proofErr w:type="gramStart"/>
      <w:r>
        <w:rPr>
          <w:rFonts w:eastAsia="Arial" w:cs="Times New Roman"/>
          <w:b/>
          <w:iCs/>
          <w:color w:val="231F20"/>
          <w:lang w:eastAsia="ar-SA" w:bidi="ar-SA"/>
        </w:rPr>
        <w:t>Общая</w:t>
      </w:r>
      <w:proofErr w:type="gramEnd"/>
      <w:r>
        <w:rPr>
          <w:rFonts w:eastAsia="Arial" w:cs="Times New Roman"/>
          <w:b/>
          <w:iCs/>
          <w:color w:val="231F20"/>
          <w:lang w:eastAsia="ar-SA" w:bidi="ar-SA"/>
        </w:rPr>
        <w:t>)»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Понятие, предмет и система гражданского права Российской Федерации.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Понятие и особенности метода гражданско-правового регулирования.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Принципы гражданского права: понятие, система, значение и характеристика принципов гражданского права.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Источники гражданского права РФ: понятие, состав и система источников гражданского права. Гражданское законодательство и иные правовые акты, содержащие нормы гражданского права. Обычаи и акты высших судов.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Действие гражданского законодательства во времени, в пространстве и по кругу лиц. Толкование и применение норм гражданского права. Применение норм гражданского права по аналогии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Гражданское правоотношение: понятие, состав и структурные особенности гражданского правоотношения. Правопреемство в гражданском правоотношении.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Классификация гражданских правоотношений и ее правовое значение.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Основания возникновения, изменения и прекращения гражданских правоотношений. Юридические факты и юридические составы в гражданском праве.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Осуществление гражданских прав: способы и пределы осуществления гражданских прав.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Формы и способы защиты гражданских прав.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Гражданская правоспособность: понятие, содержание и значение. Соотношение гражданской правоспособности и субъективного гражданского права.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Гражданская дееспособность: понятие, содержание и значение. Основания возникновения гражданской и дееспособности.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Имя и место жительства гражданина. Акты гражданского состояния.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Гражданская дееспособность малолетних и несовершеннолетних. Эмансипация.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Ограничение гражданина в дееспособности и признание гражданина </w:t>
      </w:r>
      <w:proofErr w:type="gramStart"/>
      <w:r w:rsidRPr="00A0603A">
        <w:t>недееспособным</w:t>
      </w:r>
      <w:proofErr w:type="gramEnd"/>
      <w:r w:rsidRPr="00A0603A">
        <w:t>: основания, порядок, условия и последствия. Патронаж над дееспособными гражданами.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Признание гражданина безвестно отсутствующим и объявление гражданина умершим: основания, условия и последствия. Последствия явки гражданина, признанного безвестно отсутствующим и объявленного умершим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Опека и попечительство: понятие и значение, основания установления.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Исполнение опекуном и попечителем своих обязанностей. Прекращение опеки и попечительства.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Понятие, признаки и значение юридического лица. Индивидуализация юридического лица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Классификация (виды) юридических лиц и ее правовое значение.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proofErr w:type="spellStart"/>
      <w:r w:rsidRPr="00A0603A">
        <w:t>Правосубъектность</w:t>
      </w:r>
      <w:proofErr w:type="spellEnd"/>
      <w:r w:rsidRPr="00A0603A">
        <w:t xml:space="preserve"> юридического лица и ее осуществление. Органы юридического лица. Филиалы и представительства юридического лица.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Создание (учреждение) юридического лица. Порядок и значение государственной регистрации юридического лица.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Реорганизация юридического лица и ее формы. Правопреемство при реорганизации юридического лица. Гарантии прав кредиторов при реорганизации юридического лица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Ликвидация юридического лица: основания, условия и порядок. Очередность удовлетворения требований кредиторов при ликвидации юридического лица.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Корпоративные юридические лица: понятие, виды и общая характеристика их правового статуса.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Хозяйственные товарищества: понятие, виды и общая характеристика их правового статуса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Хозяйственные общества: понятие, виды и общая характеристика их правового статуса.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Государственные и муниципальные унитарные предприятия как юридические лица: понятие, виды и общая характеристика их правового статуса.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lastRenderedPageBreak/>
        <w:t>Некоммерческие унитарные юридические лица: понятие, виды и общая характеристика их правового статуса.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Некоммерческие корпоративные юридические лица: понятие, виды, сфера деятельности и общая характеристика их правового статуса.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Участие Российской Федерации, субъектов Российской Федерации и муниципальных образований в отношениях, регулируемых гражданским правом.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Объекты гражданских прав: понятие и виды.  Классификация вещей в гражданском праве и ее правовое значение.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 Ценные бумаги как объекты гражданских прав: понятие, виды и их общая характеристика. Особенности правового режима документарных и бездокументарных ценных бумаг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 Нематериальные блага и личные неимущественные права: понятие, социальное значение и виды нематериальных благ. Правовая природа и содержание личных неимущественных прав.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Особенности </w:t>
      </w:r>
      <w:proofErr w:type="spellStart"/>
      <w:r w:rsidRPr="00A0603A">
        <w:t>гражданско</w:t>
      </w:r>
      <w:proofErr w:type="spellEnd"/>
      <w:r w:rsidRPr="00A0603A">
        <w:t xml:space="preserve"> – правовой защиты нематериальных благ и личных неимущественных прав. Компенсация морального вреда.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Понятие, признаки и значение сделок в гражданском праве.  Классификация (виды) сделок в гражданском праве. Сделки, совершенные под условием.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Состав сделки и условия ее действительности. Форма сделок и значение государственной регистрации сделок. Последствия несоблюдения формы сделок и требований их государственной регистрации.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Недействительность сделок: понятие и основания. Классификация недействительных сделок.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Последствия недействительности сделок. Сроки исковой давности по недействительным сделкам.  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Решения собраний как основания возникновения, изменения и </w:t>
      </w:r>
      <w:proofErr w:type="gramStart"/>
      <w:r w:rsidRPr="00A0603A">
        <w:t>прекращения</w:t>
      </w:r>
      <w:proofErr w:type="gramEnd"/>
      <w:r w:rsidRPr="00A0603A">
        <w:t xml:space="preserve"> гражданских прав и обязанностей.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>Представительство в гражданском праве: понятие, значение и виды представительства. Последствия совершения сделки неуполномоченным лицом.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Доверенность: понятие, значение, содержание и форма. Передоверие. Прекращение доверенности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Сроки в гражданском праве: понятие, значение и классификация гражданско-правовых сроков. Правила исчисления гражданско-правовых сроков.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t xml:space="preserve"> Исковая давность в гражданском праве: понятие, правовая природа и значение. Сроки исковой давности. Применение исковой давности. </w:t>
      </w:r>
    </w:p>
    <w:p w:rsidR="00DD0EB0" w:rsidRPr="00A0603A" w:rsidRDefault="00DD0EB0" w:rsidP="00DD0EB0">
      <w:pPr>
        <w:pStyle w:val="Default"/>
        <w:numPr>
          <w:ilvl w:val="0"/>
          <w:numId w:val="2"/>
        </w:numPr>
        <w:tabs>
          <w:tab w:val="clear" w:pos="687"/>
        </w:tabs>
        <w:ind w:left="567" w:hanging="567"/>
        <w:jc w:val="both"/>
      </w:pPr>
      <w:r w:rsidRPr="00A0603A">
        <w:rPr>
          <w:color w:val="auto"/>
        </w:rPr>
        <w:t>Начало течения исковой давности, основания перерыва и приостановления исковой давности, восстановление исковой давности. Требования, на которые исковая давность не распространяется</w:t>
      </w:r>
    </w:p>
    <w:p w:rsidR="0068673E" w:rsidRDefault="0068673E"/>
    <w:p w:rsidR="00DD0EB0" w:rsidRP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b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b/>
          <w:color w:val="000000"/>
          <w:kern w:val="0"/>
          <w:lang w:eastAsia="ru-RU" w:bidi="ar-SA"/>
        </w:rPr>
        <w:t>Нормативные акты</w:t>
      </w:r>
    </w:p>
    <w:p w:rsidR="00DD0EB0" w:rsidRPr="00DD0EB0" w:rsidRDefault="00DD0EB0" w:rsidP="00DD0EB0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lang w:eastAsia="ru-RU" w:bidi="ar-SA"/>
        </w:rPr>
        <w:t xml:space="preserve">Гражданский кодекс Российской Федерации. Часть первая. </w:t>
      </w:r>
      <w:proofErr w:type="gramStart"/>
      <w:r w:rsidRPr="00DD0EB0">
        <w:rPr>
          <w:rFonts w:eastAsia="Calibri" w:cs="Times New Roman"/>
          <w:color w:val="000000"/>
          <w:kern w:val="0"/>
          <w:lang w:eastAsia="ru-RU" w:bidi="ar-SA"/>
        </w:rPr>
        <w:t>Принят</w:t>
      </w:r>
      <w:proofErr w:type="gramEnd"/>
      <w:r w:rsidRPr="00DD0EB0">
        <w:rPr>
          <w:rFonts w:eastAsia="Calibri" w:cs="Times New Roman"/>
          <w:color w:val="000000"/>
          <w:kern w:val="0"/>
          <w:lang w:eastAsia="ru-RU" w:bidi="ar-SA"/>
        </w:rPr>
        <w:t xml:space="preserve"> 21 октября 1994 года (с изм.) // СЗ РФ. 1994. № 32. Ст. 3301.</w:t>
      </w:r>
    </w:p>
    <w:p w:rsidR="00DD0EB0" w:rsidRPr="00DD0EB0" w:rsidRDefault="00DD0EB0" w:rsidP="00DD0EB0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lang w:eastAsia="ru-RU" w:bidi="ar-SA"/>
        </w:rPr>
        <w:t xml:space="preserve">Гражданский кодекс Российской Федерации. Часть вторая. </w:t>
      </w:r>
      <w:proofErr w:type="gramStart"/>
      <w:r w:rsidRPr="00DD0EB0">
        <w:rPr>
          <w:rFonts w:eastAsia="Calibri" w:cs="Times New Roman"/>
          <w:color w:val="000000"/>
          <w:kern w:val="0"/>
          <w:lang w:eastAsia="ru-RU" w:bidi="ar-SA"/>
        </w:rPr>
        <w:t>Принят</w:t>
      </w:r>
      <w:proofErr w:type="gramEnd"/>
      <w:r w:rsidRPr="00DD0EB0">
        <w:rPr>
          <w:rFonts w:eastAsia="Calibri" w:cs="Times New Roman"/>
          <w:color w:val="000000"/>
          <w:kern w:val="0"/>
          <w:lang w:eastAsia="ru-RU" w:bidi="ar-SA"/>
        </w:rPr>
        <w:t xml:space="preserve"> 22 декабря 1995 года (с изм.) // СЗ РФ. 1996. № 5. Ст. 410.</w:t>
      </w:r>
    </w:p>
    <w:p w:rsidR="00DD0EB0" w:rsidRPr="00DD0EB0" w:rsidRDefault="00DD0EB0" w:rsidP="00DD0EB0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lang w:eastAsia="ru-RU" w:bidi="ar-SA"/>
        </w:rPr>
        <w:t>Федеральный закон от 08.08.2001 № 129-ФЗ «О государственной регистрации юридических лиц и индивидуальных предпринимателей» (с изм.) // СЗ РФ. 2001. № 33 (часть I). Ст. 3431</w:t>
      </w:r>
    </w:p>
    <w:p w:rsidR="00DD0EB0" w:rsidRPr="00DD0EB0" w:rsidRDefault="00DD0EB0" w:rsidP="00DD0EB0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lang w:eastAsia="ru-RU" w:bidi="ar-SA"/>
        </w:rPr>
        <w:t>Федеральный закон от 08.02.1998 № 14-ФЗ «Об обществах с ограниченной ответственностью» (с изм.) // СЗ РФ. 1997. № 8. СТ. 785.</w:t>
      </w:r>
    </w:p>
    <w:p w:rsidR="00DD0EB0" w:rsidRPr="00DD0EB0" w:rsidRDefault="00DD0EB0" w:rsidP="00DD0EB0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lang w:eastAsia="ru-RU" w:bidi="ar-SA"/>
        </w:rPr>
        <w:t>Федеральный закон от 13.07.2015 N 218-ФЗ (с изм.) «О государственной регистрации недвижимости» // СЗ РФ. 2015. № 29 (часть I). Ст. 4344.</w:t>
      </w:r>
    </w:p>
    <w:p w:rsid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b/>
          <w:color w:val="000000"/>
          <w:kern w:val="0"/>
          <w:lang w:eastAsia="ru-RU" w:bidi="ar-SA"/>
        </w:rPr>
      </w:pPr>
    </w:p>
    <w:p w:rsidR="00DD0EB0" w:rsidRP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b/>
          <w:color w:val="000000"/>
          <w:kern w:val="0"/>
          <w:lang w:eastAsia="ru-RU" w:bidi="ar-SA"/>
        </w:rPr>
        <w:lastRenderedPageBreak/>
        <w:t>Основная и дополнительная учебная литература</w:t>
      </w:r>
    </w:p>
    <w:p w:rsidR="00DD0EB0" w:rsidRP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color w:val="000000"/>
          <w:kern w:val="0"/>
          <w:lang w:eastAsia="ru-RU" w:bidi="ar-SA"/>
        </w:rPr>
      </w:pPr>
    </w:p>
    <w:p w:rsidR="00DD0EB0" w:rsidRP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i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/>
          <w:color w:val="000000"/>
          <w:kern w:val="0"/>
          <w:lang w:eastAsia="ru-RU" w:bidi="ar-SA"/>
        </w:rPr>
        <w:t>Основная литература:</w:t>
      </w:r>
    </w:p>
    <w:p w:rsidR="00DD0EB0" w:rsidRPr="00DD0EB0" w:rsidRDefault="00DD0EB0" w:rsidP="00DD0EB0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Белов В. А. Гражданское право в 2 т. Том 1. Общая часть: учебник для 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академического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бакалавриата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/ В. А. Белов. — М.: Издательство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Юрайт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, 2017. — 451 с. </w:t>
      </w:r>
    </w:p>
    <w:p w:rsidR="00DD0EB0" w:rsidRPr="00DD0EB0" w:rsidRDefault="00DD0EB0" w:rsidP="00DD0EB0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Гражданское право: учебник: в 2 т. / С.С. Алексеев, О.Г. Алексеева, К.П. Беляев и др.; под ред. Б.М.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Гонгало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. – 3-е изд.,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перераб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. и доп. – М.: Статут, 2018. Т. 1. – 528 с. // СПС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КонсультантПлюс</w:t>
      </w:r>
      <w:proofErr w:type="spellEnd"/>
    </w:p>
    <w:p w:rsidR="00DD0EB0" w:rsidRPr="00DD0EB0" w:rsidRDefault="00DD0EB0" w:rsidP="00DD0EB0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Гражданское право России. Общая часть : учебник для академического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бакалавриата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/ А. П. Анисимов, А. Я. Рыженков, С. А. Чаркин ; под общ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.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р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ед. А. Я.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Рыженкова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. — 4-е изд.,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перераб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. и доп. — М.: Издательство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Юрайт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, 2017. — 394 с.</w:t>
      </w:r>
    </w:p>
    <w:p w:rsidR="00DD0EB0" w:rsidRPr="00DD0EB0" w:rsidRDefault="00DD0EB0" w:rsidP="00DD0EB0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firstLine="284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Сделки, представительство, исковая давность: постатейный комментарий к статьям 153 - 208 Гражданского кодекса Российской Федерации / В.В. Байбак, Р.С. Бевзенко, С.Л.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Будылин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и др.; отв. ред. А.Г.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Карапетов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. – М.: М-Логос, 2018. – 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[Электронное издание.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Редакция 1.0] 1264 с. // СПС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КонсультантПлюс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</w:t>
      </w:r>
      <w:proofErr w:type="gramEnd"/>
    </w:p>
    <w:p w:rsidR="00DD0EB0" w:rsidRP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</w:p>
    <w:p w:rsidR="00DD0EB0" w:rsidRP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i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/>
          <w:iCs/>
          <w:color w:val="000000"/>
          <w:kern w:val="0"/>
          <w:lang w:eastAsia="ru-RU" w:bidi="ar-SA"/>
        </w:rPr>
        <w:t>Дополнительная литература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Андреев Ю.Н. Договор в гражданском праве России: сравнительно-правовое исследование: монография. - / Ю.Н. Андреев – М.: НОРМА, ИНФРА-М, 2017. – 272 с. // СПС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КонсультантПлюс</w:t>
      </w:r>
      <w:proofErr w:type="spellEnd"/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Андреев Ю.Н. Ответственность государства за причинение вреда: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цивилистические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аспекты / Ю.Н. Андреев. - СПб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.: 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Юридический центр Пресс, 2013. - 374 с. // СПС Консультант плюс;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Байрамкулов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А.К. Толкование договора в российском и зарубежном праве / А.К.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Байрамкулов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. - М.: Статут, 2016. - 224 с. // СПС Консультант плюс;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Белов В. А. Юридические факты в гражданском праве: учебное пособие для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бакалавриата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и магистратуры / В. А. Белов. — М.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: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Издательство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Юрайт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, 2017. — 450 с.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Витрянский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В.В. Реформа российского гражданского законодательства: промежуточные итоги. 2-е изд.,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испр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. и доп. / В.В.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Витрянский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– М.: Статут, 2018. – 528 с. // СПС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КонсультантПлюс</w:t>
      </w:r>
      <w:proofErr w:type="spellEnd"/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Гражданское право. Актуальные проблемы теории и практики. Т.1: [учебное пособие для студентов вузов по юридическим направлениям и специальностям: в 2 т. / Бабаев А.Б., Бабкин С.А., Бевзенко Р.С. и др.]; под общ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.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р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ед. В.А. Белова. – М.: Издательство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Юрайт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, 2016. – 484 с.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val="x-none"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Гражданское право. Актуальные проблемы теории и практики. Т.2: [учебное пособие для студентов вузов по юридическим направлениям и специальностям: в 2 т. / Бабаев А.Б., Бабкин С.А., Бевзенко Р.С. и др.]; под общ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.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</w:t>
      </w:r>
      <w:proofErr w:type="gram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р</w:t>
      </w:r>
      <w:proofErr w:type="gram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ед. В.А. Белова. – М.: Издательство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Юрайт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, 2016. – 525 с.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Краснова С.А. Система способов защиты вещных прав: монография / С.А. Краснова. - М.: ИНФРА-М, 2014. – 147 с. 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Нуждин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Т.А. Комбинированная реорганизация коммерческих организаций: монография / Т.А.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Нуждин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– М.: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Юстицинформ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, 2018. – 262 с. // СПС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КонсультантПлюс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 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Рожкова М.А. Сделки: проблемы теории и практики / М.А. Рожкова. - М.: Статут, 2008. - 482 c. (Анализ современного права) 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i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Романец Ю.В. Система договоров в гражданском праве России: Монография. 2-е изд., </w:t>
      </w:r>
      <w:proofErr w:type="spellStart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>перераб</w:t>
      </w:r>
      <w:proofErr w:type="spellEnd"/>
      <w:r w:rsidRPr="00DD0EB0">
        <w:rPr>
          <w:rFonts w:eastAsia="Calibri" w:cs="Times New Roman"/>
          <w:iCs/>
          <w:color w:val="000000"/>
          <w:kern w:val="0"/>
          <w:lang w:eastAsia="ru-RU" w:bidi="ar-SA"/>
        </w:rPr>
        <w:t xml:space="preserve">. и доп. / Ю.В. Романец. - М.: Норма, Инфра-М, 2013. - 496 с. </w:t>
      </w:r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b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Суханов Е.А. Вещное право: научно-познавательный очерк. / Е.А. Суханов – М.: Статут, 2017. – 560 с. // СПС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КонсультантПлюс</w:t>
      </w:r>
      <w:proofErr w:type="spellEnd"/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b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Юридические лица в российском гражданском праве: монография: в 3 т. / А.В.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Габов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, О.В. Гутников, Н.Г. Доронина и др.; отв. ред. А.В.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Габов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, О.В. Гутников, С.А. Синицын. – М.: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ИЗиСП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, ИНФРА-М, 2015. Т. 1: Общие положения о юридических лицах. – 384 с. // СПС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КонсультантПлюс</w:t>
      </w:r>
      <w:proofErr w:type="spellEnd"/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b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lastRenderedPageBreak/>
        <w:t xml:space="preserve">Юридические лица в российском гражданском праве: монография: в 3 т. / А.А.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Аюрова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, О.А. Беляева, М.М.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Вильданова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 и др.; отв. ред. А.В.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Габов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. – М.: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ИЗиСП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, ИНФРА-М, 2015. Т. 2: Виды юридических лиц в российском законодательстве. – 352 с. // СПС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КонсультантПлюс</w:t>
      </w:r>
      <w:proofErr w:type="spellEnd"/>
    </w:p>
    <w:p w:rsidR="00DD0EB0" w:rsidRPr="00DD0EB0" w:rsidRDefault="00DD0EB0" w:rsidP="00DD0EB0">
      <w:pPr>
        <w:widowControl/>
        <w:numPr>
          <w:ilvl w:val="0"/>
          <w:numId w:val="6"/>
        </w:numPr>
        <w:tabs>
          <w:tab w:val="left" w:pos="567"/>
        </w:tabs>
        <w:suppressAutoHyphens w:val="0"/>
        <w:ind w:firstLine="142"/>
        <w:contextualSpacing/>
        <w:jc w:val="both"/>
        <w:rPr>
          <w:rFonts w:eastAsia="Calibri" w:cs="Times New Roman"/>
          <w:bCs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Юридические лица в российском гражданском праве: монография: в 3 т. / А.В.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Габов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, К.Д.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Гасников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, В.П.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Емельянцев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 и др.; отв. ред. А.В.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Габов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. – М.: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ИЗиСП</w:t>
      </w:r>
      <w:proofErr w:type="spellEnd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 xml:space="preserve">, ИНФРА-М, 2015. – Т. 3: Создание, реорганизация и ликвидация юридических лиц.  – 280 с. // СПС </w:t>
      </w:r>
      <w:proofErr w:type="spellStart"/>
      <w:r w:rsidRPr="00DD0EB0">
        <w:rPr>
          <w:rFonts w:eastAsia="Calibri" w:cs="Times New Roman"/>
          <w:bCs/>
          <w:color w:val="000000"/>
          <w:kern w:val="0"/>
          <w:lang w:eastAsia="ru-RU" w:bidi="ar-SA"/>
        </w:rPr>
        <w:t>КонсультантПлюс</w:t>
      </w:r>
      <w:proofErr w:type="spellEnd"/>
    </w:p>
    <w:p w:rsidR="00DD0EB0" w:rsidRP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color w:val="000000"/>
          <w:kern w:val="0"/>
          <w:lang w:eastAsia="ru-RU" w:bidi="ar-SA"/>
        </w:rPr>
      </w:pPr>
    </w:p>
    <w:p w:rsidR="00DD0EB0" w:rsidRPr="00DD0EB0" w:rsidRDefault="00DD0EB0" w:rsidP="00DD0EB0">
      <w:pPr>
        <w:widowControl/>
        <w:suppressAutoHyphens w:val="0"/>
        <w:ind w:firstLine="567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DD0EB0">
        <w:rPr>
          <w:rFonts w:eastAsia="Calibri" w:cs="Times New Roman"/>
          <w:b/>
          <w:color w:val="000000"/>
          <w:kern w:val="0"/>
          <w:lang w:eastAsia="ru-RU" w:bidi="ar-SA"/>
        </w:rPr>
        <w:t xml:space="preserve">Ресурсы информационно-телекоммуникационной сети Интернет, в </w:t>
      </w:r>
      <w:proofErr w:type="spellStart"/>
      <w:r w:rsidRPr="00DD0EB0">
        <w:rPr>
          <w:rFonts w:eastAsia="Calibri" w:cs="Times New Roman"/>
          <w:b/>
          <w:color w:val="000000"/>
          <w:kern w:val="0"/>
          <w:lang w:eastAsia="ru-RU" w:bidi="ar-SA"/>
        </w:rPr>
        <w:t>т.ч</w:t>
      </w:r>
      <w:proofErr w:type="spellEnd"/>
      <w:r w:rsidRPr="00DD0EB0">
        <w:rPr>
          <w:rFonts w:eastAsia="Calibri" w:cs="Times New Roman"/>
          <w:b/>
          <w:color w:val="000000"/>
          <w:kern w:val="0"/>
          <w:lang w:eastAsia="ru-RU" w:bidi="ar-SA"/>
        </w:rPr>
        <w:t>. информационные справочные системы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Справочно-правовой ресурс "Консультант плюс". Режим доступа: </w:t>
      </w:r>
      <w:hyperlink r:id="rId6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http://www.consultant.ru/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сайт Государственной Думы Федерального Собрания Российской Федерации </w:t>
      </w:r>
      <w:hyperlink r:id="rId7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http://www.duma.gov.ru/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сайт Совета Федерации Федерального Собрания Российской Федерации </w:t>
      </w:r>
      <w:hyperlink r:id="rId8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http://www.council.gov.ru/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сайт Президента Российской Федерации </w:t>
      </w:r>
      <w:hyperlink r:id="rId9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http://kremlin.ru/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;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сайт Правительства Российской Федерации </w:t>
      </w:r>
      <w:hyperlink r:id="rId10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http://www.government.ru/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;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сайт Федеральной антимонопольной службы Российской Федерации </w:t>
      </w:r>
      <w:hyperlink r:id="rId11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http://www.fas.gov.ru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;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сайт Федеральной службы по тарифам Российской Федерации </w:t>
      </w:r>
      <w:hyperlink r:id="rId12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http://www.fstrf.ru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;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Журнал «Российская Федерация: сегодня» Федерального Собрания Российской Федерации </w:t>
      </w:r>
      <w:hyperlink r:id="rId13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http://www.russia-today.ru/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;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интернет-портал правовой информации Государственной системы правовой информации </w:t>
      </w:r>
      <w:hyperlink r:id="rId14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http://www.pravo.gov.ru/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;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Парламентская газета Федерального Собрания Российской Федерации </w:t>
      </w:r>
      <w:hyperlink r:id="rId15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http://www.pnp.ru/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;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База информационно-аналитических материалов Государственной Думы ФС РФ </w:t>
      </w:r>
      <w:hyperlink r:id="rId16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http://iam.duma.gov.ru/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;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сайт Конституционного Суда Российской Федерации </w:t>
      </w:r>
      <w:hyperlink r:id="rId17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http://www.ksrf.ru/</w:t>
        </w:r>
      </w:hyperlink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</w:p>
    <w:p w:rsidR="00DD0EB0" w:rsidRPr="00DD0EB0" w:rsidRDefault="00DD0EB0" w:rsidP="00DD0EB0">
      <w:pPr>
        <w:widowControl/>
        <w:numPr>
          <w:ilvl w:val="0"/>
          <w:numId w:val="4"/>
        </w:numPr>
        <w:suppressAutoHyphens w:val="0"/>
        <w:jc w:val="both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Официальный сайт Верховного суда российской федерации. Режим доступа: </w:t>
      </w:r>
      <w:r w:rsidRPr="00DD0EB0">
        <w:rPr>
          <w:rFonts w:eastAsia="Calibri" w:cs="Times New Roman"/>
          <w:color w:val="000000"/>
          <w:kern w:val="0"/>
          <w:sz w:val="22"/>
          <w:szCs w:val="22"/>
          <w:lang w:val="en-US" w:eastAsia="ru-RU" w:bidi="ar-SA"/>
        </w:rPr>
        <w:t>http</w:t>
      </w:r>
      <w:r w:rsidRPr="00DD0EB0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://</w:t>
      </w:r>
      <w:hyperlink r:id="rId18" w:history="1"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val="en-US" w:eastAsia="ru-RU" w:bidi="ar-SA"/>
          </w:rPr>
          <w:t>www</w:t>
        </w:r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.</w:t>
        </w:r>
        <w:proofErr w:type="spellStart"/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val="en-US" w:eastAsia="ru-RU" w:bidi="ar-SA"/>
          </w:rPr>
          <w:t>vsrf</w:t>
        </w:r>
        <w:proofErr w:type="spellEnd"/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eastAsia="ru-RU" w:bidi="ar-SA"/>
          </w:rPr>
          <w:t>.</w:t>
        </w:r>
        <w:proofErr w:type="spellStart"/>
        <w:r w:rsidRPr="00DD0EB0">
          <w:rPr>
            <w:rFonts w:eastAsia="Calibri" w:cs="Times New Roman"/>
            <w:color w:val="0000FF"/>
            <w:kern w:val="0"/>
            <w:sz w:val="22"/>
            <w:szCs w:val="22"/>
            <w:u w:val="single"/>
            <w:lang w:val="en-US" w:eastAsia="ru-RU" w:bidi="ar-SA"/>
          </w:rPr>
          <w:t>ru</w:t>
        </w:r>
        <w:proofErr w:type="spellEnd"/>
      </w:hyperlink>
    </w:p>
    <w:p w:rsidR="00DD0EB0" w:rsidRDefault="00DD0EB0"/>
    <w:p w:rsidR="00DD0EB0" w:rsidRDefault="00DD0EB0">
      <w:bookmarkStart w:id="0" w:name="_GoBack"/>
      <w:bookmarkEnd w:id="0"/>
    </w:p>
    <w:sectPr w:rsidR="00DD0EB0" w:rsidSect="00DD0E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EB1"/>
    <w:multiLevelType w:val="hybridMultilevel"/>
    <w:tmpl w:val="F52E7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09F8"/>
    <w:multiLevelType w:val="hybridMultilevel"/>
    <w:tmpl w:val="27A0A6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9F40BD"/>
    <w:multiLevelType w:val="hybridMultilevel"/>
    <w:tmpl w:val="9ADC91F4"/>
    <w:lvl w:ilvl="0" w:tplc="041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74057"/>
    <w:multiLevelType w:val="hybridMultilevel"/>
    <w:tmpl w:val="12605F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F78AB"/>
    <w:multiLevelType w:val="hybridMultilevel"/>
    <w:tmpl w:val="12605F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61032"/>
    <w:multiLevelType w:val="multilevel"/>
    <w:tmpl w:val="E60E5B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C1"/>
    <w:rsid w:val="004F0A43"/>
    <w:rsid w:val="0068673E"/>
    <w:rsid w:val="00A168C1"/>
    <w:rsid w:val="00D33207"/>
    <w:rsid w:val="00D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cil.gov.ru/" TargetMode="External"/><Relationship Id="rId13" Type="http://schemas.openxmlformats.org/officeDocument/2006/relationships/hyperlink" Target="http://www.russia-today.ru/" TargetMode="External"/><Relationship Id="rId18" Type="http://schemas.openxmlformats.org/officeDocument/2006/relationships/hyperlink" Target="http://www.vsr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ma.gov.ru/" TargetMode="External"/><Relationship Id="rId12" Type="http://schemas.openxmlformats.org/officeDocument/2006/relationships/hyperlink" Target="http://www.fstrf.ru" TargetMode="External"/><Relationship Id="rId17" Type="http://schemas.openxmlformats.org/officeDocument/2006/relationships/hyperlink" Target="http://www.ks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am.duma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fa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np.ru/" TargetMode="External"/><Relationship Id="rId10" Type="http://schemas.openxmlformats.org/officeDocument/2006/relationships/hyperlink" Target="http://www.governme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emlin.ru/" TargetMode="External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2019-10-09T09:56:00Z</dcterms:created>
  <dcterms:modified xsi:type="dcterms:W3CDTF">2019-10-09T09:59:00Z</dcterms:modified>
</cp:coreProperties>
</file>