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FE" w:rsidRPr="00AD1FFE" w:rsidRDefault="00AD1FFE" w:rsidP="00AD1F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AD1FFE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АННОТАЦИЯ РАБОЧЕЙ ПРОГРАММЫ ДИСЦИПЛИНЫ </w:t>
      </w:r>
    </w:p>
    <w:p w:rsidR="00AD1FFE" w:rsidRPr="00AD1FFE" w:rsidRDefault="00AD1FFE" w:rsidP="00AD1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AD1FFE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«ОСНОВЫ БУХГАЛТЕРСКОГО УЧЕТА И СУДЕБНО-БУХГАЛТЕРСКОЙ ЭКСПЕРТИЗЫ» (дневная форма)</w:t>
      </w:r>
    </w:p>
    <w:p w:rsidR="00AD1FFE" w:rsidRPr="00AD1FFE" w:rsidRDefault="00AD1FFE" w:rsidP="00AD1FF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D1FFE" w:rsidRPr="00AD1FFE" w:rsidTr="003A33A4"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Цели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D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Целью освоения дисциплины является ф</w:t>
            </w:r>
            <w:r w:rsidRPr="00AD1FF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ормирование у студентов твердых теоретических знаний и практических навыков в области правового регулирования деятельности по организации и ведению бухгалтерского учета, а также в сфере судебно-бухгалтерской экспертизы.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бакалавр получит знания о месте и роли бухгалтерского учета в системе финансово-хозяйственной деятельности экономического субъекта, о значении хозяйственного учета для юридической практики, о порядке оформления и использования бухгалтерской документации, о проверочных мероприятиях, а также о теоретических и практических основах назначения и производства судебно-бухгалтерской экспертизы в уголовном, административном, гражданском и арбитражном судопроизводстве. Освоение данной дисциплины позволит студентам ориентироваться в многообразии типов процедур бухгалтерского учета, научиться определять экономический смысл и юридические последствия отдельных фактов хозяйственной жизни; инициировать проведение контрольных мероприятий, назначать производство судебно-бухгалтерской экспертизы, интерпретировать ее результаты.</w:t>
            </w:r>
          </w:p>
        </w:tc>
      </w:tr>
      <w:tr w:rsidR="00AD1FFE" w:rsidRPr="00AD1FFE" w:rsidTr="003A33A4"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Данная дисциплина относится к вариативной части профессионального цикла «Б.2» направления подготовки 40.03.01 «Юриспруденция».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Учебная дисциплина «Основы бухгалтерского учета и судебно-бухгалтерской экспертизы» предполагает наличие знаний по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государства и права, конституционному праву РФ, финансовому праву, уголовному праву, уголовно-процессуальному праву.</w:t>
            </w: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Общая трудоемкость дисциплины составляет 1 зачетную единицу (36 часов), из которых 16 часов составляет контактная (аудиторная) работа обучающегося с преподавателем – занятия лекционного типа. 20 часов составляет самостоятельная работа обучающегося.</w:t>
            </w:r>
          </w:p>
        </w:tc>
      </w:tr>
      <w:tr w:rsidR="00AD1FFE" w:rsidRPr="00AD1FFE" w:rsidTr="003A33A4"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Формируемые компетенции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ОК-10, 11, 12, ПК-3</w:t>
            </w:r>
          </w:p>
        </w:tc>
      </w:tr>
      <w:tr w:rsidR="00AD1FFE" w:rsidRPr="00AD1FFE" w:rsidTr="003A33A4"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tabs>
                <w:tab w:val="left" w:pos="176"/>
                <w:tab w:val="left" w:pos="601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В результате освоения учебной дисциплины обучающийся должен:</w:t>
            </w:r>
          </w:p>
          <w:p w:rsidR="00AD1FFE" w:rsidRPr="00AD1FFE" w:rsidRDefault="00AD1FFE" w:rsidP="00AD1FFE">
            <w:pPr>
              <w:tabs>
                <w:tab w:val="left" w:pos="176"/>
                <w:tab w:val="left" w:pos="601"/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color="000000"/>
                <w:lang w:eastAsia="ar-SA"/>
              </w:rPr>
            </w:pPr>
            <w:r w:rsidRPr="00AD1FFE">
              <w:rPr>
                <w:rFonts w:ascii="Times New Roman" w:eastAsia="Times New Roman" w:hAnsi="Times New Roman" w:cs="Times New Roman"/>
                <w:b/>
                <w:u w:color="000000"/>
                <w:lang w:eastAsia="ru-RU"/>
              </w:rPr>
              <w:t>Знать:</w:t>
            </w:r>
            <w:r w:rsidRPr="00AD1FFE">
              <w:rPr>
                <w:rFonts w:ascii="Times New Roman" w:eastAsia="Times New Roman" w:hAnsi="Times New Roman" w:cs="Times New Roman"/>
                <w:u w:color="000000"/>
                <w:lang w:eastAsia="ru-RU"/>
              </w:rPr>
              <w:t xml:space="preserve"> </w:t>
            </w:r>
            <w:r w:rsidRPr="00AD1FFE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- </w:t>
            </w:r>
            <w:r w:rsidRPr="00AD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методику выявления информации об экономических отклонениях от правил бухгалтерского учета и ее использования в процессе расследования уголовных дел, а также рассмотрения гражданских, арбитражных и административных дел; экспертные и консультационные возможности использования бухгалтерских знаний применительно к юриспруденции, включая информационные базы данных; преимущества и недостатки работы с </w:t>
            </w:r>
            <w:r w:rsidRPr="00AD1F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информацией в сфере бухгалтерского учета и судебно-бухгалтерской экспертизы, включая возможности доступа к соответствующей информации третьих лиц, риски утраты и разглашения информации; порядок обращения в органы контроля в сфере финансово-хозяйственной деятельность, порядок и процедуру назначения и проведения судебно-бухгалтерской экспертизы.</w:t>
            </w:r>
          </w:p>
          <w:p w:rsidR="00AD1FFE" w:rsidRPr="00AD1FFE" w:rsidRDefault="00AD1FFE" w:rsidP="00AD1FFE">
            <w:pPr>
              <w:tabs>
                <w:tab w:val="left" w:pos="176"/>
                <w:tab w:val="left" w:pos="601"/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  <w:r w:rsidRPr="00AD1FFE">
              <w:rPr>
                <w:rFonts w:ascii="Times New Roman" w:eastAsia="Times New Roman" w:hAnsi="Times New Roman" w:cs="Times New Roman"/>
                <w:b/>
                <w:u w:color="000000"/>
                <w:lang w:eastAsia="ru-RU"/>
              </w:rPr>
              <w:t>Уметь:</w:t>
            </w:r>
            <w:r w:rsidRPr="00AD1FFE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- </w:t>
            </w:r>
            <w:r w:rsidRPr="00AD1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специальные учетные знания при производстве процессуальных действий в условиях необходимости неразглашения данных предварительного расследования; формулировать вопросы, задаваемые участникам уголовного судопроизводства, связанные с информационным и организационным обеспечением судебно-бухгалтерской экспертизы; всесторонне оценивать результаты судебно-бухгалтерской экспертизы для принятия юридически значимых решений на основе документальной информации; работать с актуальной нормативно-правовой и учетной информацией с использованием современных компьютерных коммуникационных технологий; разъяснить гражданам и представителям экономических субъектов необходимость соблюдения правовых норм; взаимодействовать с правоохранительными органами для разрешения проблемной ситуации в сфере правового регулирования вопросов бухгалтерского учета и судебно-бухгалтерской экспертизы. </w:t>
            </w:r>
          </w:p>
        </w:tc>
      </w:tr>
      <w:tr w:rsidR="00AD1FFE" w:rsidRPr="00AD1FFE" w:rsidTr="003A33A4"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lastRenderedPageBreak/>
              <w:t>Содержание дисциплины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1.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учет: виды, сущность, значение. Предмет и метод бухгалтерского учета.</w:t>
            </w:r>
          </w:p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2.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баланс как элемент метода бухгалтерского учета.</w:t>
            </w:r>
          </w:p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3. </w:t>
            </w:r>
            <w:r w:rsidRPr="00AD1F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Счета бухгалтерского учета. Сущность метода двойной записи.</w:t>
            </w:r>
          </w:p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4.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хозяйственных операций.</w:t>
            </w:r>
          </w:p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5.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бухгалтерского учета. Анализ данных бухгалтерского учета и его применение в юридическое практике.</w:t>
            </w:r>
          </w:p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6.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применения специальных бухгалтерских познаний в следственной и судебной практике.</w:t>
            </w:r>
          </w:p>
          <w:p w:rsidR="00AD1FFE" w:rsidRPr="00AD1FFE" w:rsidRDefault="00AD1FFE" w:rsidP="00AD1FFE">
            <w:pPr>
              <w:tabs>
                <w:tab w:val="left" w:pos="39"/>
              </w:tabs>
              <w:spacing w:after="0" w:line="240" w:lineRule="auto"/>
              <w:ind w:firstLine="322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7. </w:t>
            </w: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судебно-бухгалтерской экспертизы. Порядок назначения и проведения судебно-бухгалтерской экспертизы.</w:t>
            </w:r>
          </w:p>
        </w:tc>
      </w:tr>
      <w:tr w:rsidR="00AD1FFE" w:rsidRPr="00AD1FFE" w:rsidTr="003A33A4">
        <w:trPr>
          <w:trHeight w:val="70"/>
        </w:trPr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Лекции, самостоятельная работа.</w:t>
            </w:r>
          </w:p>
        </w:tc>
      </w:tr>
      <w:tr w:rsidR="00AD1FFE" w:rsidRPr="00AD1FFE" w:rsidTr="003A33A4">
        <w:trPr>
          <w:trHeight w:val="70"/>
        </w:trPr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Лекции с элементами дискуссии; разбор конкретных ситуаций; заслушивание рефератов.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val="single"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val="single" w:color="000000"/>
              </w:rPr>
              <w:t>Образовательные электронные ресурсы: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Электронная библиотека ТГУ;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Электронно-библиотечная система издательства «Лань»; 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 xml:space="preserve">Научная электронная библиотека eLIBRARY.RU; 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val="single"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Информационно-правовой портал «Гарант»;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val="single"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Информационно-правовая система «Консультант Плюс»;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lastRenderedPageBreak/>
              <w:t xml:space="preserve">Электронная библиотека диссертаций (РГБ); 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EAST VIEW Журналы по общественным и гуманитарным наукам;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SCOPUS; 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Science Index;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Web of Science; 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Wiley Online Library.</w:t>
            </w:r>
          </w:p>
          <w:p w:rsidR="00AD1FFE" w:rsidRPr="00AD1FFE" w:rsidRDefault="00AD1FFE" w:rsidP="00AD1FF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val="single" w:color="000000"/>
                <w:lang w:val="en-US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val="single" w:color="000000"/>
              </w:rPr>
              <w:t>Интернет</w:t>
            </w:r>
            <w:r w:rsidRPr="00AD1FFE">
              <w:rPr>
                <w:rFonts w:ascii="Times New Roman" w:eastAsia="Arial Unicode MS" w:hAnsi="Times New Roman" w:cs="Times New Roman"/>
                <w:color w:val="000000"/>
                <w:u w:val="single" w:color="000000"/>
                <w:lang w:val="en-US"/>
              </w:rPr>
              <w:t>-</w:t>
            </w:r>
            <w:r w:rsidRPr="00AD1FFE">
              <w:rPr>
                <w:rFonts w:ascii="Times New Roman" w:eastAsia="Arial Unicode MS" w:hAnsi="Times New Roman" w:cs="Times New Roman"/>
                <w:color w:val="000000"/>
                <w:u w:val="single" w:color="000000"/>
              </w:rPr>
              <w:t>ресурсы</w:t>
            </w:r>
            <w:r w:rsidRPr="00AD1FFE">
              <w:rPr>
                <w:rFonts w:ascii="Times New Roman" w:eastAsia="Arial Unicode MS" w:hAnsi="Times New Roman" w:cs="Times New Roman"/>
                <w:color w:val="000000"/>
                <w:u w:val="single" w:color="000000"/>
                <w:lang w:val="en-US"/>
              </w:rPr>
              <w:t xml:space="preserve">: 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www.minfin.ru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www.cbr.ru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www.gov.ru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www.nalog.ru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www.glavbukh.ru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www.buh.ru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www.buhonline.ru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www.buhgalteria.ru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www.szexpertiza.ru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www.sudexpert.ru</w:t>
            </w:r>
          </w:p>
          <w:p w:rsidR="00AD1FFE" w:rsidRPr="00AD1FFE" w:rsidRDefault="00AD1FFE" w:rsidP="00AD1FF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www.proexpertizu.ru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</w:pPr>
            <w:r w:rsidRPr="00AD1FF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 w:eastAsia="ru-RU"/>
              </w:rPr>
              <w:t>www.glavsudexpertiza.ru</w:t>
            </w:r>
          </w:p>
          <w:p w:rsidR="00AD1FFE" w:rsidRPr="00AD1FFE" w:rsidRDefault="00AD1FFE" w:rsidP="00AD1FFE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Arial Unicode MS" w:hAnsi="Arial Unicode MS" w:cs="Arial Unicode MS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u w:color="000000"/>
              </w:rPr>
              <w:t>Доля аудиторных занятий, проводимых в интерактивных формах, составляет 30%.</w:t>
            </w:r>
          </w:p>
        </w:tc>
      </w:tr>
      <w:tr w:rsidR="00AD1FFE" w:rsidRPr="00AD1FFE" w:rsidTr="003A33A4">
        <w:trPr>
          <w:trHeight w:val="70"/>
        </w:trPr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Формы текущего контроля успеваемости студентов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Тестовые задания, рефераты.</w:t>
            </w:r>
          </w:p>
        </w:tc>
      </w:tr>
      <w:tr w:rsidR="00AD1FFE" w:rsidRPr="00AD1FFE" w:rsidTr="003A33A4">
        <w:trPr>
          <w:trHeight w:val="70"/>
        </w:trPr>
        <w:tc>
          <w:tcPr>
            <w:tcW w:w="3652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Виды и формы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AD1FFE" w:rsidRPr="00AD1FFE" w:rsidRDefault="00AD1FFE" w:rsidP="00AD1FFE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AD1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Зачет</w:t>
            </w:r>
          </w:p>
        </w:tc>
      </w:tr>
    </w:tbl>
    <w:p w:rsidR="00AD1FFE" w:rsidRPr="00AD1FFE" w:rsidRDefault="00AD1FFE" w:rsidP="00AD1FFE">
      <w:pPr>
        <w:widowControl w:val="0"/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</w:rPr>
      </w:pPr>
    </w:p>
    <w:p w:rsidR="00AD1FFE" w:rsidRPr="00AD1FFE" w:rsidRDefault="00AD1FFE" w:rsidP="00AD1F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71"/>
        </w:tabs>
        <w:spacing w:after="0" w:line="240" w:lineRule="auto"/>
        <w:ind w:right="40" w:firstLine="284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17412C" w:rsidRDefault="0017412C">
      <w:bookmarkStart w:id="0" w:name="_GoBack"/>
      <w:bookmarkEnd w:id="0"/>
    </w:p>
    <w:sectPr w:rsidR="0017412C" w:rsidSect="000513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1" w:rsidRDefault="00AD1F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1" w:rsidRDefault="00AD1F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1" w:rsidRDefault="00AD1FF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1" w:rsidRDefault="00AD1F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1" w:rsidRDefault="00AD1F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1" w:rsidRDefault="00AD1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7D"/>
    <w:rsid w:val="0017412C"/>
    <w:rsid w:val="00AD1FFE"/>
    <w:rsid w:val="00D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FA9D-8BB7-4479-AA4A-F8AC004A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FFE"/>
  </w:style>
  <w:style w:type="paragraph" w:styleId="a5">
    <w:name w:val="footer"/>
    <w:basedOn w:val="a"/>
    <w:link w:val="a6"/>
    <w:unhideWhenUsed/>
    <w:rsid w:val="00AD1FFE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D1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Симоненко</dc:creator>
  <cp:keywords/>
  <dc:description/>
  <cp:lastModifiedBy>Татьяна И. Симоненко</cp:lastModifiedBy>
  <cp:revision>2</cp:revision>
  <dcterms:created xsi:type="dcterms:W3CDTF">2016-11-14T05:25:00Z</dcterms:created>
  <dcterms:modified xsi:type="dcterms:W3CDTF">2016-11-14T05:29:00Z</dcterms:modified>
</cp:coreProperties>
</file>