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24" w:rsidRPr="006C652C" w:rsidRDefault="00686824" w:rsidP="0068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652C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686824" w:rsidRPr="00686824" w:rsidRDefault="00686824" w:rsidP="0068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24">
        <w:rPr>
          <w:rFonts w:ascii="Times New Roman" w:hAnsi="Times New Roman" w:cs="Times New Roman"/>
          <w:b/>
          <w:sz w:val="24"/>
          <w:szCs w:val="24"/>
        </w:rPr>
        <w:t>ГРАЖДАНСКОЕ ПРАВО, ПРЕДПРИНИМАТЕЛЬСКОЕ ПРАВО, СЕМЕЙНОЕ ПРАВО, МЕЖДУНАРОДНОЕ ЧАСТНОЕ ПРАВО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686824" w:rsidRPr="001C62D6" w:rsidTr="00A15457">
        <w:tc>
          <w:tcPr>
            <w:tcW w:w="3402" w:type="dxa"/>
          </w:tcPr>
          <w:p w:rsidR="00686824" w:rsidRPr="008904BA" w:rsidRDefault="00686824" w:rsidP="00A15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освоения дисциплины </w:t>
            </w:r>
          </w:p>
          <w:p w:rsidR="00686824" w:rsidRPr="008904BA" w:rsidRDefault="00686824" w:rsidP="00A154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686824" w:rsidRPr="006B4A16" w:rsidRDefault="006B4A16" w:rsidP="00A154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A1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отдельных теоретических проблем современного гражданского, семейного, предпринимательского и международного частного права </w:t>
            </w:r>
            <w:r w:rsidRPr="006B4A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знание и понимание которых необходимы для успешной сдачи экзамена кандидатского минимума по специальности 12.00.03. «Гражданское право, предпринимательское право, семейное право, международное частное право»; формирование у аспирантов и соискателей навыков научного анализа законодательства и доктринальных источников в сфере гражданского права, предпринимательского права, семейного права и международного частного права, и последующего применения этих навыков в процессе работы над диссертационным исследованием.</w:t>
            </w:r>
          </w:p>
        </w:tc>
      </w:tr>
      <w:tr w:rsidR="00686824" w:rsidRPr="001C62D6" w:rsidTr="00A15457">
        <w:tc>
          <w:tcPr>
            <w:tcW w:w="3402" w:type="dxa"/>
          </w:tcPr>
          <w:p w:rsidR="00686824" w:rsidRPr="008904BA" w:rsidRDefault="00686824" w:rsidP="00A154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686824" w:rsidRPr="006B4A16" w:rsidRDefault="006B4A16" w:rsidP="00A1545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Дисциплина «Гражданское право, предпринимательское право, семейное право, международное частное право» относится к </w:t>
            </w:r>
            <w:r w:rsidRPr="006B4A16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дисциплинам профиля вариативной части (П.1.В.02.02). Изучение данной дисциплины базируется на знаниях, полученных аспирантами в ходе обучения по программам </w:t>
            </w:r>
            <w:proofErr w:type="spellStart"/>
            <w:r w:rsidRPr="006B4A16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6B4A16">
              <w:rPr>
                <w:rFonts w:ascii="Times New Roman" w:hAnsi="Times New Roman" w:cs="Times New Roman"/>
                <w:sz w:val="20"/>
                <w:szCs w:val="20"/>
              </w:rPr>
              <w:t xml:space="preserve"> или магистратуры. Дисциплина </w:t>
            </w:r>
            <w:r w:rsidRPr="006B4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«Гражданское право, предпринимательское право, семейное право, международное частное право» </w:t>
            </w:r>
            <w:r w:rsidRPr="006B4A16">
              <w:rPr>
                <w:rFonts w:ascii="Times New Roman" w:hAnsi="Times New Roman" w:cs="Times New Roman"/>
                <w:sz w:val="20"/>
                <w:szCs w:val="20"/>
              </w:rPr>
              <w:t>является основой для изучения таких факультативных дисциплин программы, как «Актуальные вопросы гражданского права РФ», «Проблемы договорного права»</w:t>
            </w:r>
          </w:p>
          <w:p w:rsidR="00686824" w:rsidRPr="006B4A16" w:rsidRDefault="00686824" w:rsidP="00A154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Трудоемкость дисциплины – </w:t>
            </w:r>
            <w:r w:rsidRPr="006B4A16">
              <w:rPr>
                <w:rFonts w:ascii="Times New Roman" w:hAnsi="Times New Roman" w:cs="Times New Roman"/>
                <w:sz w:val="20"/>
                <w:szCs w:val="20"/>
              </w:rPr>
              <w:t>4 зачетная ед., 144 часа</w:t>
            </w:r>
          </w:p>
        </w:tc>
      </w:tr>
      <w:tr w:rsidR="00686824" w:rsidRPr="001C62D6" w:rsidTr="00A15457">
        <w:tc>
          <w:tcPr>
            <w:tcW w:w="3402" w:type="dxa"/>
          </w:tcPr>
          <w:p w:rsidR="00686824" w:rsidRPr="008904BA" w:rsidRDefault="00686824" w:rsidP="00686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686824" w:rsidRPr="00A17781" w:rsidRDefault="00C4590D" w:rsidP="006868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ПК-1, </w:t>
            </w:r>
            <w:r w:rsidR="00686824" w:rsidRPr="00A17781">
              <w:rPr>
                <w:rFonts w:ascii="Times New Roman" w:hAnsi="Times New Roman" w:cs="Times New Roman"/>
                <w:sz w:val="20"/>
                <w:szCs w:val="20"/>
              </w:rPr>
              <w:t>ОПК-2, ОПК-3, ОПК-4, ОПК-5</w:t>
            </w:r>
          </w:p>
        </w:tc>
      </w:tr>
      <w:tr w:rsidR="00686824" w:rsidRPr="001C62D6" w:rsidTr="00A15457">
        <w:tc>
          <w:tcPr>
            <w:tcW w:w="3402" w:type="dxa"/>
          </w:tcPr>
          <w:p w:rsidR="00686824" w:rsidRPr="00C17E50" w:rsidRDefault="00686824" w:rsidP="00A154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50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686824" w:rsidRPr="00204CD5" w:rsidRDefault="00686824" w:rsidP="00204C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CD5">
              <w:rPr>
                <w:rFonts w:ascii="Times New Roman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204CD5" w:rsidRPr="00204CD5" w:rsidRDefault="00686824" w:rsidP="00204CD5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CD5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04CD5" w:rsidRPr="00204CD5">
              <w:rPr>
                <w:rFonts w:ascii="Times New Roman" w:hAnsi="Times New Roman" w:cs="Times New Roman"/>
                <w:sz w:val="20"/>
              </w:rPr>
              <w:t xml:space="preserve">предметно-правовые и методологические проблемы науки гражданского, предпринимательского, семейного и международного частного права; 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методологии научного исследования; теоретические основы правосознания, правового мышления и правовой культуры, инновационные способы, методы и средства обучения; научные основы организации деятельности исследовательского и педагогического коллектива в области юриспруденции;</w:t>
            </w:r>
            <w:r w:rsidR="00204CD5" w:rsidRPr="00204CD5">
              <w:rPr>
                <w:rFonts w:ascii="Times New Roman" w:hAnsi="Times New Roman" w:cs="Times New Roman"/>
                <w:sz w:val="20"/>
              </w:rPr>
              <w:t xml:space="preserve"> базовые предметы научной специальности; 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>требования образовательных программ в области юриспруденции</w:t>
            </w:r>
          </w:p>
          <w:p w:rsidR="00686824" w:rsidRPr="00204CD5" w:rsidRDefault="00686824" w:rsidP="00204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CD5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04CD5" w:rsidRPr="00204CD5">
              <w:rPr>
                <w:rFonts w:ascii="Times New Roman" w:hAnsi="Times New Roman" w:cs="Times New Roman"/>
                <w:sz w:val="20"/>
              </w:rPr>
              <w:t xml:space="preserve">применять основные процедуры правового исследования; 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полученные знания в процессе практической деятельности; осуществлять профессиональную деятельность на основе развитого правосознания, правового мышления и правовой культуры в сфере гражданско-правовых отношений; организовать деятельность исследовательского и педагогического коллектива; лекционный материал по дисциплинам </w:t>
            </w:r>
            <w:r w:rsidR="00204CD5" w:rsidRPr="00204CD5">
              <w:rPr>
                <w:rFonts w:ascii="Times New Roman" w:hAnsi="Times New Roman" w:cs="Times New Roman"/>
                <w:sz w:val="20"/>
              </w:rPr>
              <w:t xml:space="preserve">научной специальности, 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сопровождение</w:t>
            </w:r>
            <w:r w:rsidR="00204CD5" w:rsidRPr="00204CD5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современные методы и приемы педагогической науки </w:t>
            </w:r>
            <w:r w:rsidR="00204CD5" w:rsidRPr="00204CD5">
              <w:rPr>
                <w:rFonts w:ascii="Times New Roman" w:hAnsi="Times New Roman" w:cs="Times New Roman"/>
                <w:sz w:val="20"/>
              </w:rPr>
              <w:t>в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преподавания юридических дисциплин.</w:t>
            </w:r>
          </w:p>
          <w:p w:rsidR="00686824" w:rsidRPr="00204CD5" w:rsidRDefault="00686824" w:rsidP="00204CD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4CD5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самостоятельной постановки научной проблемы и формулирования содержательных аргументированных предложений по ее решению; </w:t>
            </w:r>
            <w:r w:rsidR="00204CD5" w:rsidRPr="00204CD5">
              <w:rPr>
                <w:rFonts w:ascii="Times New Roman" w:hAnsi="Times New Roman" w:cs="Times New Roman"/>
                <w:sz w:val="20"/>
              </w:rPr>
              <w:t>навыком поиска, обобщения и систематизации правовой и научной информации;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применения новых методов исследования в соответствии с действующим</w:t>
            </w:r>
            <w:r w:rsidR="00204CD5" w:rsidRPr="00204CD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законодательством; навыками принятия решений и осуществления профессиональной деятельности на основе развитого правосознания, правового мышления и правовой культуры в сфере гражданско-правовых отношений; навыками организации деятельности исследовательского и педагогического коллектива; </w:t>
            </w:r>
            <w:r w:rsidR="00204CD5" w:rsidRPr="00204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навыками проведении занятий со студентами; навыками применения дидактических приемов в процессе осуществления педагогической деятельности</w:t>
            </w:r>
          </w:p>
        </w:tc>
      </w:tr>
      <w:tr w:rsidR="00686824" w:rsidRPr="001C62D6" w:rsidTr="00A15457">
        <w:tc>
          <w:tcPr>
            <w:tcW w:w="3402" w:type="dxa"/>
          </w:tcPr>
          <w:p w:rsidR="00686824" w:rsidRPr="008904BA" w:rsidRDefault="00686824" w:rsidP="00A15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Содержание дисциплины </w:t>
            </w:r>
          </w:p>
          <w:p w:rsidR="00686824" w:rsidRPr="008904BA" w:rsidRDefault="00686824" w:rsidP="00A154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686824" w:rsidRPr="00A17781" w:rsidRDefault="00686824" w:rsidP="00A15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781">
              <w:rPr>
                <w:rFonts w:ascii="Times New Roman" w:hAnsi="Times New Roman" w:cs="Times New Roman"/>
                <w:sz w:val="20"/>
                <w:szCs w:val="20"/>
              </w:rPr>
              <w:t>Гражданское право. Семейное право. Предпринимательское право. Международное частное право.</w:t>
            </w:r>
          </w:p>
        </w:tc>
      </w:tr>
      <w:tr w:rsidR="00686824" w:rsidRPr="001C62D6" w:rsidTr="00A15457">
        <w:tc>
          <w:tcPr>
            <w:tcW w:w="3402" w:type="dxa"/>
          </w:tcPr>
          <w:p w:rsidR="00686824" w:rsidRPr="008904BA" w:rsidRDefault="00686824" w:rsidP="00A15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686824" w:rsidRPr="00A17781" w:rsidRDefault="00686824" w:rsidP="00A154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781">
              <w:rPr>
                <w:rFonts w:ascii="Times New Roman" w:hAnsi="Times New Roman" w:cs="Times New Roman"/>
                <w:sz w:val="20"/>
                <w:szCs w:val="20"/>
              </w:rPr>
              <w:t>Лекции, семинары, консультации, самостоятельная работа.</w:t>
            </w:r>
          </w:p>
        </w:tc>
      </w:tr>
      <w:tr w:rsidR="00686824" w:rsidRPr="001C62D6" w:rsidTr="00A15457">
        <w:tc>
          <w:tcPr>
            <w:tcW w:w="3402" w:type="dxa"/>
          </w:tcPr>
          <w:p w:rsidR="00686824" w:rsidRPr="00622FF8" w:rsidRDefault="00686824" w:rsidP="00A154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686824" w:rsidRPr="00A17781" w:rsidRDefault="00686824" w:rsidP="00A154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781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разбор конкретных ситуаций;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A17781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A17781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686824" w:rsidRPr="00A17781" w:rsidRDefault="00686824" w:rsidP="00A154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781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 w:rsidR="006B4A16"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6</w:t>
            </w:r>
            <w:r w:rsidRPr="00A17781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686824" w:rsidRPr="001C62D6" w:rsidTr="00A15457">
        <w:tc>
          <w:tcPr>
            <w:tcW w:w="3402" w:type="dxa"/>
          </w:tcPr>
          <w:p w:rsidR="00686824" w:rsidRPr="008904BA" w:rsidRDefault="00686824" w:rsidP="00A15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686824" w:rsidRPr="00A17781" w:rsidRDefault="00686824" w:rsidP="00A154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781">
              <w:rPr>
                <w:rFonts w:ascii="Times New Roman" w:hAnsi="Times New Roman" w:cs="Times New Roman"/>
                <w:sz w:val="20"/>
                <w:szCs w:val="20"/>
              </w:rPr>
              <w:t>устный опрос, ситуационные задания, контрольные работы, рефераты.</w:t>
            </w:r>
          </w:p>
        </w:tc>
      </w:tr>
      <w:tr w:rsidR="00686824" w:rsidRPr="001C62D6" w:rsidTr="00A15457">
        <w:tc>
          <w:tcPr>
            <w:tcW w:w="3402" w:type="dxa"/>
          </w:tcPr>
          <w:p w:rsidR="00686824" w:rsidRPr="008904BA" w:rsidRDefault="00686824" w:rsidP="00A15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686824" w:rsidRPr="00A17781" w:rsidRDefault="00686824" w:rsidP="00A154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781">
              <w:rPr>
                <w:rFonts w:ascii="Times New Roman" w:hAnsi="Times New Roman" w:cs="Times New Roman"/>
                <w:sz w:val="20"/>
                <w:szCs w:val="20"/>
              </w:rPr>
              <w:t>Зачет, дифференцированный зачет, реферат, экзамен</w:t>
            </w:r>
          </w:p>
        </w:tc>
      </w:tr>
    </w:tbl>
    <w:p w:rsidR="00A17781" w:rsidRDefault="00A17781" w:rsidP="00A17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2981"/>
    <w:multiLevelType w:val="hybridMultilevel"/>
    <w:tmpl w:val="F03E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88B"/>
    <w:multiLevelType w:val="hybridMultilevel"/>
    <w:tmpl w:val="F79E0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7F4A"/>
    <w:multiLevelType w:val="hybridMultilevel"/>
    <w:tmpl w:val="3320DF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B7"/>
    <w:rsid w:val="00204CD5"/>
    <w:rsid w:val="00214EB6"/>
    <w:rsid w:val="00686824"/>
    <w:rsid w:val="006B4A16"/>
    <w:rsid w:val="006C652C"/>
    <w:rsid w:val="006D5C25"/>
    <w:rsid w:val="009F4843"/>
    <w:rsid w:val="00A17781"/>
    <w:rsid w:val="00BC4FB7"/>
    <w:rsid w:val="00C17E50"/>
    <w:rsid w:val="00C4590D"/>
    <w:rsid w:val="00C759DF"/>
    <w:rsid w:val="00D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0419A-09DE-4DE4-9D9B-960E5460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52C"/>
    <w:pPr>
      <w:ind w:left="720"/>
      <w:contextualSpacing/>
    </w:pPr>
  </w:style>
  <w:style w:type="paragraph" w:styleId="a5">
    <w:name w:val="Body Text"/>
    <w:basedOn w:val="a"/>
    <w:link w:val="a6"/>
    <w:unhideWhenUsed/>
    <w:rsid w:val="006C652C"/>
    <w:pPr>
      <w:spacing w:after="120"/>
    </w:pPr>
  </w:style>
  <w:style w:type="character" w:customStyle="1" w:styleId="a6">
    <w:name w:val="Основной текст Знак"/>
    <w:basedOn w:val="a0"/>
    <w:link w:val="a5"/>
    <w:rsid w:val="006C652C"/>
  </w:style>
  <w:style w:type="paragraph" w:styleId="2">
    <w:name w:val="Body Text 2"/>
    <w:basedOn w:val="a"/>
    <w:link w:val="20"/>
    <w:uiPriority w:val="99"/>
    <w:semiHidden/>
    <w:unhideWhenUsed/>
    <w:rsid w:val="006C65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652C"/>
  </w:style>
  <w:style w:type="paragraph" w:styleId="a7">
    <w:name w:val="Body Text Indent"/>
    <w:basedOn w:val="a"/>
    <w:link w:val="a8"/>
    <w:uiPriority w:val="99"/>
    <w:unhideWhenUsed/>
    <w:rsid w:val="006C65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C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Катерина Чуйкина</cp:lastModifiedBy>
  <cp:revision>2</cp:revision>
  <dcterms:created xsi:type="dcterms:W3CDTF">2017-04-10T04:00:00Z</dcterms:created>
  <dcterms:modified xsi:type="dcterms:W3CDTF">2017-04-10T04:00:00Z</dcterms:modified>
</cp:coreProperties>
</file>