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C1" w:rsidRPr="002769C1" w:rsidRDefault="002769C1" w:rsidP="0027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2769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РЕЗОЛЮЦИЯ</w:t>
      </w:r>
    </w:p>
    <w:p w:rsidR="002769C1" w:rsidRPr="002769C1" w:rsidRDefault="002769C1" w:rsidP="0027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769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всероссийской научно-практической конференции по мониторингу правоприменения </w:t>
      </w:r>
    </w:p>
    <w:p w:rsidR="002769C1" w:rsidRDefault="002769C1" w:rsidP="0027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769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«Реализация решений Конституционного Суда Российской Федерации и Европейского суда по правам человека в уголовно-процессуальном законодательстве и уголовном судопроизводстве России»</w:t>
      </w:r>
    </w:p>
    <w:p w:rsidR="00EF3400" w:rsidRDefault="00EF3400" w:rsidP="0027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EF3400" w:rsidRPr="00EF3400" w:rsidRDefault="00EF3400" w:rsidP="00FF3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Участники всероссийской научно-практической конференции по мониторингу правоприменения «Реализация решений Конституционного Суда Российской Федерации и Европейского суда по правам человека в уголовно-процессуальном законодательстве и уголовном судопроизводстве России»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обсудив </w:t>
      </w:r>
      <w:r w:rsidR="00AA4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отражение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F3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решений Конституционного Суда Российской Федерации и Европейского суда по правам человека в уголовно-процессуальном законодательстве и </w:t>
      </w:r>
      <w:r w:rsidR="00AA4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практику их применения в </w:t>
      </w:r>
      <w:r w:rsidRPr="00EF3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уголовном судопроизводстве России</w:t>
      </w:r>
      <w:r w:rsidR="00AA4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полагают необходимым предложить следующее:</w:t>
      </w:r>
    </w:p>
    <w:p w:rsidR="002769C1" w:rsidRPr="002769C1" w:rsidRDefault="002769C1" w:rsidP="002769C1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21660D" w:rsidRPr="002650DB" w:rsidRDefault="000854D7" w:rsidP="000854D7">
      <w:pPr>
        <w:pStyle w:val="a4"/>
        <w:spacing w:after="0" w:line="240" w:lineRule="auto"/>
        <w:ind w:left="0"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Pr="000854D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BF1596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Российская Федерация, добровольно приняв на себя обязательство обеспечивать возможность реализации прав, закрепленных в Конвенции</w:t>
      </w:r>
      <w:r w:rsidR="00F474EB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 защите прав человека и основных свобод</w:t>
      </w:r>
      <w:r w:rsidR="00BF1596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всем лицам, находящимся на ее территории, </w:t>
      </w:r>
      <w:r w:rsidR="00C8222D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тем самым обязалась</w:t>
      </w:r>
      <w:r w:rsidR="00164C6F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F1596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создать системный механизм, использование которого позволяло бы гражданам РФ реализовывать такие права непосредственно, без предварительного обращения с жалобой в ЕСПЧ. В то же время, у</w:t>
      </w:r>
      <w:r w:rsidR="0021660D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читывая верховенство Конституции Российской Федерации, имплементация в российское законодательство </w:t>
      </w:r>
      <w:r w:rsidR="002769C1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правоприменительную практику </w:t>
      </w:r>
      <w:r w:rsidR="0021660D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правовых позиций Европейского Суда по правам человека возможна лишь в части, в которой они не противоречат </w:t>
      </w:r>
      <w:r w:rsidR="00DB64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положе</w:t>
      </w:r>
      <w:r w:rsidR="0021660D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ниям Конституции</w:t>
      </w:r>
      <w:r w:rsidR="00BF1596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РФ</w:t>
      </w:r>
      <w:r w:rsidR="0028509D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а потому </w:t>
      </w:r>
      <w:r w:rsidR="00BF1596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должна производиться </w:t>
      </w:r>
      <w:r w:rsidR="0028509D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взвешенно с тем, чтобы такая имплементация не приводила к нарушению баланса конституционных ценностей, ослаблению достигнутого уровня </w:t>
      </w:r>
      <w:r w:rsidR="00C17F0F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правовой защищенности граждан</w:t>
      </w:r>
      <w:r w:rsidR="0021660D" w:rsidRPr="002650D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F34A4B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1"/>
      </w:r>
    </w:p>
    <w:p w:rsidR="00BF1596" w:rsidRDefault="00BF1596" w:rsidP="00C66D1C">
      <w:pPr>
        <w:pStyle w:val="a4"/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учетом этого, п</w:t>
      </w:r>
      <w:r w:rsidR="002166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равовые позиции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Европейского Суда по правам человека</w:t>
      </w:r>
      <w:r w:rsidR="000854D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изложенные в его решениях</w:t>
      </w:r>
      <w:r w:rsidR="00492E1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0854D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 общему правилу должны </w:t>
      </w:r>
      <w:r w:rsidR="00F474E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подлежать имплементации </w:t>
      </w:r>
      <w:r w:rsidR="00F474EB" w:rsidRPr="00F474E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посредством внесения дополнений и</w:t>
      </w:r>
      <w:r w:rsidR="000854D7" w:rsidRPr="000854D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</w:t>
      </w:r>
      <w:r w:rsidR="000854D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или)</w:t>
      </w:r>
      <w:r w:rsidR="00F474EB" w:rsidRPr="00F474E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изменений </w:t>
      </w:r>
      <w:r w:rsidR="00F474E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C17F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национальное </w:t>
      </w:r>
      <w:r w:rsidR="00F474EB" w:rsidRPr="00F474E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законодательств</w:t>
      </w:r>
      <w:r w:rsidR="00F474E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F474EB" w:rsidRPr="00F474E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Российской Федерации.</w:t>
      </w:r>
      <w:r w:rsidR="00CC25E0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2"/>
      </w:r>
      <w:r w:rsidR="00164C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164C6F" w:rsidRDefault="000854D7" w:rsidP="000854D7">
      <w:pPr>
        <w:pStyle w:val="a4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lastRenderedPageBreak/>
        <w:t>II</w:t>
      </w:r>
      <w:r w:rsidRPr="000854D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AA44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Участниками конференции было обращено внимание на </w:t>
      </w:r>
      <w:r w:rsidR="002D5E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существование </w:t>
      </w:r>
      <w:r w:rsidR="00AA44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следующи</w:t>
      </w:r>
      <w:r w:rsidR="002D5E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r w:rsidR="00AA44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недостатк</w:t>
      </w:r>
      <w:r w:rsidR="002D5E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ов</w:t>
      </w:r>
      <w:r w:rsidR="00AA44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пробел</w:t>
      </w:r>
      <w:r w:rsidR="002D5E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ов</w:t>
      </w:r>
      <w:r w:rsidR="00AA44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нормативного регулирования в РФ уголовно-процессуальной и оперативно-розыскной деятельности</w:t>
      </w:r>
      <w:r w:rsidR="002D5E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а также проблем, связанных с адекватным правоприменением</w:t>
      </w:r>
      <w:r w:rsidR="00AA44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препятствующи</w:t>
      </w:r>
      <w:r w:rsidR="002D5E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r w:rsidR="00AA44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полноценной</w:t>
      </w:r>
      <w:r w:rsidR="00AD3B87" w:rsidRPr="00AD3B87">
        <w:t xml:space="preserve"> </w:t>
      </w:r>
      <w:r w:rsid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AD3B87" w:rsidRP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еализаци</w:t>
      </w:r>
      <w:r w:rsid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D3B87" w:rsidRP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решений Конституционного Суда Российской Федерации и Европейского суда по правам человека в уголовном судопроизводстве России</w:t>
      </w:r>
      <w:r w:rsidR="00164C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</w:p>
    <w:p w:rsidR="00A478DC" w:rsidRDefault="002D5E18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Необходимость у</w:t>
      </w:r>
      <w:r w:rsidR="00C17F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становления такого</w:t>
      </w:r>
      <w:r w:rsidR="00164C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порядка проведения </w:t>
      </w:r>
      <w:r w:rsidR="00C17F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оперативно-розыскных мероприятий</w:t>
      </w:r>
      <w:r w:rsidR="00164C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C17F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который бы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создавал достаточные гарантии </w:t>
      </w:r>
      <w:r w:rsidR="00C17F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исключ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ения</w:t>
      </w:r>
      <w:r w:rsidR="00C17F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64C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провокаци</w:t>
      </w:r>
      <w:r w:rsidR="00C17F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преступления. </w:t>
      </w:r>
    </w:p>
    <w:p w:rsidR="00A478DC" w:rsidRPr="00A478DC" w:rsidRDefault="00A478DC" w:rsidP="00A478D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этих целях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</w:t>
      </w:r>
      <w:r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частниками конференции было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предложено </w:t>
      </w:r>
      <w:r w:rsidRPr="00A478DC">
        <w:rPr>
          <w:rFonts w:ascii="Times New Roman" w:hAnsi="Times New Roman"/>
          <w:sz w:val="28"/>
          <w:szCs w:val="28"/>
          <w:lang w:eastAsia="ru-RU"/>
        </w:rPr>
        <w:t xml:space="preserve">законодательно закрепить содержание всех оперативно-розыскных мероприятий, предусмотренных статьей 6 Закона об ОРД, а также понятие и содержание провокации преступления, с тем, чтобы </w:t>
      </w:r>
      <w:r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 блокировать проведение оперативно-розыскных мероприятий, а </w:t>
      </w:r>
      <w:r w:rsidRPr="00A478DC">
        <w:rPr>
          <w:rFonts w:ascii="Times New Roman" w:hAnsi="Times New Roman"/>
          <w:sz w:val="28"/>
          <w:szCs w:val="28"/>
          <w:lang w:eastAsia="ru-RU"/>
        </w:rPr>
        <w:t xml:space="preserve">разграничить правомерную и неправомерную тактику их проведения, обеспечить равное и единообразное применение этих законоположений применительно к выявлению или раскрытию любых преступлений, а не только коррупционных и наркотических, обеспечивая </w:t>
      </w:r>
      <w:r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защиту интересов личности от криминальных угроз, а также достигнутый уровень общественной и государственной безопасности.</w:t>
      </w:r>
    </w:p>
    <w:p w:rsidR="00BF1596" w:rsidRPr="00A478DC" w:rsidRDefault="00A478DC" w:rsidP="00A478DC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Кроме того, у</w:t>
      </w:r>
      <w:r w:rsidR="002D5E18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частниками конференции было также указано на возможность п</w:t>
      </w:r>
      <w:r w:rsidR="00C17F0F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роработать варианты </w:t>
      </w:r>
      <w:r w:rsidR="00164C6F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установления </w:t>
      </w:r>
      <w:r w:rsidR="00C17F0F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дополнительного </w:t>
      </w:r>
      <w:r w:rsidR="00164C6F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независимого контроля за </w:t>
      </w:r>
      <w:r w:rsidR="00C17F0F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обоснованностью проведения таких о</w:t>
      </w:r>
      <w:r w:rsidR="002D5E18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перативно-розыскных мероприятий</w:t>
      </w:r>
      <w:r w:rsidR="00EE2255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(например, со стороны суда)</w:t>
      </w:r>
      <w:r w:rsidR="002D5E18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В то же время, такое законодательное регулирование призвано не блокировать проведение оперативно-розыскных мероприятий</w:t>
      </w:r>
      <w:r w:rsidR="00E30921" w:rsidRPr="00A47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12F17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3"/>
      </w:r>
    </w:p>
    <w:p w:rsidR="00E9368F" w:rsidRDefault="00EE2255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Отсутствие </w:t>
      </w:r>
      <w:r w:rsidR="00A954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уголовно-процессуально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</w:t>
      </w:r>
      <w:r w:rsidR="00A954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законодательств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</w:t>
      </w:r>
      <w:r w:rsidR="00A954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РФ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достаточных </w:t>
      </w:r>
      <w:r w:rsid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гарантий обеспечения беспристрастности судей при рассмотрении ими уголовных дел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(в том числе, по сравнению с гарантиями, установленными арбитражным процессуальным законом). В частности, такими гарантиями, по мнению участников, могут стать: </w:t>
      </w:r>
    </w:p>
    <w:p w:rsidR="00E9368F" w:rsidRDefault="00E9368F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93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E2255" w:rsidRPr="00E93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дополнительные основания для отвода судей, позволяющие учесть при разрешении вопроса об отводе правовые позиции ЕСПЧ относительно объективного критерия беспристрастности судьи,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9368F" w:rsidRDefault="00E9368F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-</w:t>
      </w:r>
      <w:r w:rsidR="00EE2255" w:rsidRPr="00E93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появление дифференцированного порядка разрешения отвода, заявленного судье, который бы позволял, когда это возможно, чтобы отвод, заявленный судье, разрешался иным лицом (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например, председателем суда)</w:t>
      </w:r>
      <w:r w:rsidR="00622D6A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4"/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</w:p>
    <w:p w:rsidR="00E9368F" w:rsidRDefault="00E9368F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E93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запрет на рассмотрение уголовного дела по существу, если судья ранее принимал участие при избрании и (или) продлении меры пресечения в отношении подсудимого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AD3B87" w:rsidRPr="00E9368F" w:rsidRDefault="00EE2255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93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то же время участники конференции обратили внимание на необходимость одновременного введения в уголовно-процессуальное законодательство норм, которые создавали бы гарантии от злоупотребления правом на заявление отвода, с тем, чтобы рассмотрение дела не оказалось блокированным многократными заявлениями отвода по одному и тому же основанию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F60858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5"/>
      </w:r>
    </w:p>
    <w:p w:rsidR="00F22C01" w:rsidRDefault="00F22C01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Отнесение следователя к числу субъектов, действующих на стороне обвинения, не позволяет создать достаточных гарантий полноты, объективности и всесторонности исследования им обстоятельств дела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340FED" w:rsidRDefault="00340FED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Отсутствие реальной возможности у стороны защиты участвовать в доказывании</w:t>
      </w:r>
      <w:r w:rsidRPr="00340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основе принципа равенства сторон, поскольку отсутствуют </w:t>
      </w:r>
      <w:r w:rsidR="00E93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достаточные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процессуальные гарантии того, что собранные ею материалы будут приняты и изучены судом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B15421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6"/>
      </w:r>
    </w:p>
    <w:p w:rsidR="001A2744" w:rsidRDefault="00F22C01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164C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164C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обвиняемого на допрос показывающих против него свидетелей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 гарантировано в достаточной степени, законодателем не достигнут </w:t>
      </w:r>
      <w:r w:rsidR="00164C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баланс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между данным правом обвиняемого и</w:t>
      </w:r>
      <w:r w:rsidR="00164C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правами потерпевших и свидетелей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(на безопасность), отсутствуют законодательно закрепленные способы, которые позволили бы компенсировать </w:t>
      </w:r>
      <w:r w:rsidR="00340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стороне защиты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сложности, связанные с </w:t>
      </w:r>
      <w:r w:rsidR="001A2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принятием и исследованием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судом показаний свидетелей, не допрошенных в суде</w:t>
      </w:r>
      <w:r w:rsidR="00340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340FED" w:rsidRPr="001A2744" w:rsidRDefault="00340FED" w:rsidP="001A2744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A2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частности, участниками конференции было обращено внимание на:</w:t>
      </w:r>
    </w:p>
    <w:p w:rsidR="00340FED" w:rsidRDefault="00340FED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Pr="00340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отсутствие достаточных гарантий реализации права обвиняемого допраши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вать эксперта стороны обвинения;</w:t>
      </w:r>
      <w:r w:rsidRPr="00340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164C6F" w:rsidRDefault="00340FED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340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отсутствие достаточных гарантий того, что судом будет проверено наличие достаточных оснований для применения мер безопасности в отношении свидетеля (анонимный свидетель),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для </w:t>
      </w:r>
      <w:r w:rsidRPr="00340F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отказа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допроса в суде несовершеннолетнего потерпевшего;</w:t>
      </w:r>
    </w:p>
    <w:p w:rsidR="00340FED" w:rsidRDefault="00340FED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- необходимость проведения видеозаписи допроса свидетеля</w:t>
      </w:r>
      <w:r w:rsidR="00E93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(потерпевшего)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который возможно будет отсутствовать в суде, для того, чтобы суд в последующем мог составить собственное мнение о поведении свидетеля на допросе и о его надежности</w:t>
      </w:r>
      <w:r w:rsidR="00E93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осуществление видеозаписи допроса несовершеннолетнего потерпевшего не должно ставиться в зависимость от его желания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или </w:t>
      </w:r>
      <w:r w:rsidR="00E9368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желания его законных представителей;</w:t>
      </w:r>
    </w:p>
    <w:p w:rsidR="00E9368F" w:rsidRDefault="00E9368F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отсутствуют гарантии возможности для стороны </w:t>
      </w:r>
      <w:r w:rsidR="001A2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защиты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поставить свои вопросы перед несовершеннолетним потерпевшим (например, путем участия в его допросе защитника обвиняемого, присутствия стороны защиты при таком допросе в условиях, исключающих визуальное наблюдение, подача письменных вопросов через следователя и т.п.);</w:t>
      </w:r>
    </w:p>
    <w:p w:rsidR="00E9368F" w:rsidRDefault="00E9368F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 делам, по которым один или несколько обвиняемых заключили досудебное соглашение о сотрудничестве, отсутствуют достаточные гарантии того, что обвинительный приговор, вопреки правовым позициям ЕСПЧ, не будет основан исключительно на показаниях сообвиняемых</w:t>
      </w:r>
      <w:r w:rsidR="001A2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заключивших такое соглашение</w:t>
      </w:r>
      <w:r w:rsid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A2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="001A2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подобных ситуациях должны иметься и другие доказательства виновности лица, совершившего преступления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B15421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7"/>
      </w:r>
    </w:p>
    <w:p w:rsidR="00BF1596" w:rsidRDefault="00E9368F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законе отсутствуют достаточные гарантии от </w:t>
      </w:r>
      <w:r w:rsidR="00A954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проведения произвольного обыска у адвокатов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от произвольного нарушения конфиденциальности сведений, входящих в состав адвокатской тайны. В частности, участники конференции указали на необходимость:</w:t>
      </w:r>
    </w:p>
    <w:p w:rsidR="00B767D1" w:rsidRDefault="00B767D1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обеспечения мотивированного характера согласия суда на проведение обыска у адвоката (обыск может быть разрешен в случае установления </w:t>
      </w:r>
      <w:r w:rsidRPr="00B767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объективной невозможности получения искомых 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оказательств из иных источников)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В согласии суда на производство обыска у адвоката должны быть конкретизированы материалы, подлежащие изъятию в ходе обыска;</w:t>
      </w:r>
    </w:p>
    <w:p w:rsidR="00E9368F" w:rsidRDefault="00E9368F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B767D1"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появлени</w:t>
      </w:r>
      <w:r w:rsid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</w:t>
      </w:r>
      <w:r w:rsidR="00B767D1"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правового механизма, позволяющего при проведении обыска в отношении адвоката (в том числе в жилых и служебных помещениях, используемых для осуществления адвокатской деятельности) обеспечить дифференцированный подход к исследованию как материалов, которые содержат адвокатскую тайну и вследствие этого не должны быть доступны на данной стадии состязательного процесса органам, осуществляющим предварительное расследование, так и материалов, конфиденциальность которых не подлежит обеспече</w:t>
      </w:r>
      <w:r w:rsid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нию законом, путем </w:t>
      </w:r>
      <w:r w:rsidR="00B767D1"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установления</w:t>
      </w:r>
      <w:r w:rsid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в частности,</w:t>
      </w:r>
      <w:r w:rsidR="00B767D1"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обязательности участия в ходе данных следственных действий лиц, выполняющих функции </w:t>
      </w:r>
      <w:r w:rsid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независимого и </w:t>
      </w:r>
      <w:r w:rsidR="00B767D1"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«осведомленного» разграничения между материалами, содержащими адвокатскую тайну, и материалами, конфиденциальность которых не </w:t>
      </w:r>
      <w:r w:rsidR="00B767D1"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подлежит обеспечению законом</w:t>
      </w:r>
      <w:r w:rsid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(представитель Адвокатской палаты, прокурор, не надзирающий за следствием, представитель органов юстиции);</w:t>
      </w:r>
    </w:p>
    <w:p w:rsidR="00B767D1" w:rsidRDefault="00B767D1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обязательность уведомления адвоката и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его</w:t>
      </w:r>
      <w:r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доверителя о начале производства 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обыска (выемки) у адвоката</w:t>
      </w:r>
      <w:r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целью предоставления возможности данным лицам принять участие в данном следственном действии</w:t>
      </w:r>
      <w:r w:rsidR="001A46CD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B767D1" w:rsidRDefault="00B767D1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B76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обязательность участия в данных следственных действиях представителя адвокатской палаты субъекта Российской Федерации, членом которой или на территории которой осущест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вляет свою деятельность адвокат.</w:t>
      </w:r>
      <w:r w:rsidR="00C36978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9"/>
      </w:r>
    </w:p>
    <w:p w:rsidR="009936CD" w:rsidRDefault="009936CD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Отсутствуют достаточные нормативные гарантии воспрепятствования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получения уполномоченным защитником, выбранным</w:t>
      </w:r>
      <w:r w:rsid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например,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семьей задержанного лица (либо иным лицом), доступа к нему в целях оказания юридической помощи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(в том числе путем установления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недопустимост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показаний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данных в присутствии другого защитника, назначенного органом предварительного расследования, поскольку в такой ситуации нарушается право свободного выбора (приглашения) защитника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).</w:t>
      </w:r>
      <w:r w:rsidR="00C36978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10"/>
      </w:r>
      <w:r w:rsid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C47181" w:rsidRPr="00C47181" w:rsidRDefault="00C47181" w:rsidP="00C47181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то же время участники конференции обратили внимание на необходимость одновременного введения в уголовно-процессуальное законодательство норм, которые создавали бы гарантии от злоупотребления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 стороны уполномоченного защитника</w:t>
      </w:r>
      <w:r w:rsidRP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правом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являться по вызову должностных лиц для участия в производстве следственных действий или в судебном разбирательстве</w:t>
      </w:r>
      <w:r w:rsidRP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AD3B87" w:rsidRDefault="00E30921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Имеется необходимость о</w:t>
      </w:r>
      <w:r w:rsidR="00164C6F" w:rsidRP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беспечения права потерпевших на доступ к правосудию</w:t>
      </w:r>
      <w:r w:rsidR="0097672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164C6F" w:rsidRP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судебную защиту и справедливое судебное разбирательство путем </w:t>
      </w:r>
      <w:r w:rsid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появления возможности </w:t>
      </w:r>
      <w:r w:rsidR="00164C6F" w:rsidRP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осуществления зао</w:t>
      </w:r>
      <w:r w:rsidR="00A954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чного судебного разбирательства в случаях добровольного отказа подсудимого от реализации своего права на </w:t>
      </w:r>
      <w:r w:rsidR="00A54E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личное </w:t>
      </w:r>
      <w:r w:rsidR="00A954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участи</w:t>
      </w:r>
      <w:r w:rsidR="00A54E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</w:t>
      </w:r>
      <w:r w:rsidR="00A954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судебном разбирател</w:t>
      </w:r>
      <w:r w:rsidR="00A54E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ьстве </w:t>
      </w:r>
      <w:r w:rsidR="0097672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уклонения</w:t>
      </w:r>
      <w:r w:rsidR="00A54E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участия в суде по делам о преступлениях небольшой и средней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тяжести.</w:t>
      </w:r>
      <w:r w:rsidR="00C36978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11"/>
      </w:r>
    </w:p>
    <w:p w:rsidR="0097672D" w:rsidRDefault="0097672D" w:rsidP="0097672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Необходимо определить основания и порядок заочного судебного разбирательства</w:t>
      </w:r>
      <w:r w:rsidRPr="00D50F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случае уклонения обвиняемых от суда, обеспечивающий </w:t>
      </w:r>
      <w:r w:rsidRP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права потерпевших на доступ к правосудию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</w:t>
      </w:r>
      <w:r w:rsidRPr="00AD3B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судебную защиту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отвечающий требованиям равенства перед законом и судом как подсудимых, так и потерпевших от преступлений. </w:t>
      </w:r>
    </w:p>
    <w:p w:rsidR="009936CD" w:rsidRDefault="00B767D1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Необходимость обеспечения</w:t>
      </w:r>
      <w:r w:rsidR="00A54E81"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учет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A54E81"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уголовно-процессуальном законе правовых позиций ЕСПЧ относительно недопустимости использования отдельных доказательств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</w:t>
      </w:r>
      <w:r w:rsidR="009936CD"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например,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936CD"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полученных 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нарушением права на защиту</w:t>
      </w:r>
      <w:r w:rsidR="00A54E81"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9936CD"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случае отказа в допуске к подозреваемому/обвиняемому защитника по его собственному выбору, оглашенных показаний неявившегося свидетеля, и т.п.), </w:t>
      </w:r>
      <w:r w:rsidR="00A54E81"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исключив при этом подмену исследования действительных обстоятельств по уголовному делу формальными схемами оценки доказательств, придани</w:t>
      </w:r>
      <w:r w:rsidR="00E30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 им заранее установленной силы.</w:t>
      </w:r>
      <w:r w:rsidR="00C36978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12"/>
      </w:r>
    </w:p>
    <w:p w:rsidR="009936CD" w:rsidRDefault="009936CD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Законодателю не удалось разграничить основания проверки судебных решений, не вступивших в законную силу (апелляционные) и вступивших в законную силу (кассационные, надзорные). Как свидетельствует анализ практики, при проверке судебных решений в апелляционном и кассационном порядке основаниями выступают одни и те же нарушения уголовного, процессуального закона.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936C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удалось и сформулировать достаточно ясный и исчерпывающий круг оснований, для отмены судебных решений в сторону ухудшения (ст.401.6 УПК РФ). Сама формулировка "допущенные повлиявшие на исход дела нарушения закона, искажающие суть правосудия и смысл судебного решения как акта правосудия" не отличается определенностью и сложно разграничивается с общими основаниями проверк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в суде кассационной инстанции</w:t>
      </w:r>
      <w:r w:rsid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C654DA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13"/>
      </w:r>
      <w:r w:rsidR="003305EC" w:rsidRPr="003305EC">
        <w:t xml:space="preserve"> </w:t>
      </w:r>
    </w:p>
    <w:p w:rsidR="009936CD" w:rsidRDefault="003305EC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Отсутствует нормативно закрепленная возможность при рассмотрении дела в апелляционной инстанции перейти к «полной» апелляции, которая могла бы заменить исследование в суде первой инстанции, что исключает возможность исправления в апелляционной инстанции большого количества ошибок, допущенных судом первой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инстанции при рассмотрении уголовного дела, и вызывает необходимость возвращения дела на новое расс</w:t>
      </w:r>
      <w:r w:rsid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мотрение в суд первой инстанции.</w:t>
      </w:r>
      <w:r w:rsidR="00C654DA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14"/>
      </w:r>
    </w:p>
    <w:p w:rsidR="003305EC" w:rsidRPr="009936CD" w:rsidRDefault="003305EC" w:rsidP="0001343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Отсутствуют достаточные гарантии обеспечения права осужденного на защиту при решении вопроса о его участии в заседании суда апелляционной инстанции в режиме видеоконференцсвязи а также при обеспечении его участия в таком режиме.</w:t>
      </w:r>
      <w:r w:rsid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</w:t>
      </w:r>
      <w:r w:rsidR="00C47181" w:rsidRP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частник</w:t>
      </w:r>
      <w:r w:rsid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ами</w:t>
      </w:r>
      <w:r w:rsidR="00C47181" w:rsidRP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конференции</w:t>
      </w:r>
      <w:r w:rsidR="00C47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отмечена необходимость предусмотреть в указанном случае в уголовно-процессуальном законодательстве обязательность одновременного участия двух защитников: одного – в месте нахождения осужденного, другого – в зале судебного заседания.</w:t>
      </w:r>
      <w:r w:rsidR="00C654DA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15"/>
      </w:r>
      <w:r w:rsidR="004660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A54E81" w:rsidRPr="00A54E81" w:rsidRDefault="00A54E81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F3400" w:rsidRPr="00EF3400" w:rsidRDefault="00EF3400" w:rsidP="00013437">
      <w:pPr>
        <w:tabs>
          <w:tab w:val="left" w:pos="851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sectPr w:rsidR="00EF3400" w:rsidRPr="00EF34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4D" w:rsidRDefault="008A4B4D" w:rsidP="00C66D1C">
      <w:pPr>
        <w:spacing w:after="0" w:line="240" w:lineRule="auto"/>
      </w:pPr>
      <w:r>
        <w:separator/>
      </w:r>
    </w:p>
  </w:endnote>
  <w:endnote w:type="continuationSeparator" w:id="0">
    <w:p w:rsidR="008A4B4D" w:rsidRDefault="008A4B4D" w:rsidP="00C6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210737"/>
      <w:docPartObj>
        <w:docPartGallery w:val="Page Numbers (Bottom of Page)"/>
        <w:docPartUnique/>
      </w:docPartObj>
    </w:sdtPr>
    <w:sdtEndPr/>
    <w:sdtContent>
      <w:p w:rsidR="00C66D1C" w:rsidRDefault="00C66D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EE">
          <w:rPr>
            <w:noProof/>
          </w:rPr>
          <w:t>2</w:t>
        </w:r>
        <w:r>
          <w:fldChar w:fldCharType="end"/>
        </w:r>
      </w:p>
    </w:sdtContent>
  </w:sdt>
  <w:p w:rsidR="00C66D1C" w:rsidRDefault="00C66D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4D" w:rsidRDefault="008A4B4D" w:rsidP="00C66D1C">
      <w:pPr>
        <w:spacing w:after="0" w:line="240" w:lineRule="auto"/>
      </w:pPr>
      <w:r>
        <w:separator/>
      </w:r>
    </w:p>
  </w:footnote>
  <w:footnote w:type="continuationSeparator" w:id="0">
    <w:p w:rsidR="008A4B4D" w:rsidRDefault="008A4B4D" w:rsidP="00C66D1C">
      <w:pPr>
        <w:spacing w:after="0" w:line="240" w:lineRule="auto"/>
      </w:pPr>
      <w:r>
        <w:continuationSeparator/>
      </w:r>
    </w:p>
  </w:footnote>
  <w:footnote w:id="1">
    <w:p w:rsidR="00F34A4B" w:rsidRDefault="00F34A4B" w:rsidP="00F34A4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в резолюции не нашли отражения важные проблемы, обсужденные на конференции, в частности, 1) вывод о том, что имплементация решений КС РФ и имплементация решений ЕСПЧ представляют собой два совершенно разных правовых механизма, которые не должны смешиваться; 2) вывод о необходимости обеспечивать стабильность российского уголовно-процессуального законодательства и др.</w:t>
      </w:r>
    </w:p>
  </w:footnote>
  <w:footnote w:id="2">
    <w:p w:rsidR="00CC25E0" w:rsidRPr="00CC25E0" w:rsidRDefault="00CC25E0" w:rsidP="00CC25E0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Особое мнение заведующего кафедрой уголовного процесса, правосудия и прокурорского надзора юридического факультета МГУ, профессора Л. В. Головко: «Полагаю, что основным способом имплементации решений ЕСПЧ является учет высказанных им правовых позиций в правоприменительной практике – при расследовании и рассмотрении конкретных уголовных дел. Имплементация в виде постоянных дополнений (изменений) законодательства приводит лишь к дестабилизации последнего, что крайне негативно сказывается в том числе на соблюдении прав и свобод человека в правоприменительной практике по смыслу Европейской Конвенции о защите прав человека и основных свобод. В самом общем виде можно сказать, что при нестабильном законодательстве и вытекающей из него неустойчивой практике никакие права и свободы соблюдаться не могут». </w:t>
      </w:r>
    </w:p>
  </w:footnote>
  <w:footnote w:id="3">
    <w:p w:rsidR="00112F17" w:rsidRDefault="00112F17" w:rsidP="00F60858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«</w:t>
      </w:r>
      <w:r w:rsidR="00F60858">
        <w:rPr>
          <w:rFonts w:ascii="Times New Roman" w:hAnsi="Times New Roman" w:cs="Times New Roman"/>
        </w:rPr>
        <w:t>Обращу внимание</w:t>
      </w:r>
      <w:r w:rsidR="00205DB2">
        <w:rPr>
          <w:rFonts w:ascii="Times New Roman" w:hAnsi="Times New Roman" w:cs="Times New Roman"/>
        </w:rPr>
        <w:t xml:space="preserve"> на то</w:t>
      </w:r>
      <w:r w:rsidR="00F60858">
        <w:rPr>
          <w:rFonts w:ascii="Times New Roman" w:hAnsi="Times New Roman" w:cs="Times New Roman"/>
        </w:rPr>
        <w:t>, что Россия является одной из немногих стран, где оперативно-розыскная деятельность урегулирована специальным законом и предусматривает необходимые судебные гарантии при ограничении всех прав, обеспеченных Европейской конвенцией о защите прав человека и основных свобод, что выгодно отличает российское право от многих других стран, где подобных гарантий нет ни на законодательном, ни на судебном уровне (см. дело Э. Сноудена, тайные «прослушки» АНБ и т. п.).</w:t>
      </w:r>
    </w:p>
  </w:footnote>
  <w:footnote w:id="4">
    <w:p w:rsidR="00622D6A" w:rsidRDefault="00622D6A" w:rsidP="00782F1A">
      <w:pPr>
        <w:pStyle w:val="ConsPlusNormal"/>
        <w:jc w:val="both"/>
      </w:pPr>
      <w:r w:rsidRPr="00622D6A">
        <w:rPr>
          <w:sz w:val="20"/>
          <w:szCs w:val="20"/>
        </w:rPr>
        <w:footnoteRef/>
      </w:r>
      <w:r w:rsidRPr="00622D6A">
        <w:rPr>
          <w:sz w:val="20"/>
          <w:szCs w:val="20"/>
        </w:rPr>
        <w:t xml:space="preserve"> </w:t>
      </w:r>
      <w:r w:rsidR="00B0661A">
        <w:rPr>
          <w:sz w:val="20"/>
          <w:szCs w:val="20"/>
        </w:rPr>
        <w:t xml:space="preserve">В ходе </w:t>
      </w:r>
      <w:r w:rsidR="00202E7C">
        <w:rPr>
          <w:sz w:val="20"/>
          <w:szCs w:val="20"/>
        </w:rPr>
        <w:t>приняти</w:t>
      </w:r>
      <w:r w:rsidR="00B0661A">
        <w:rPr>
          <w:sz w:val="20"/>
          <w:szCs w:val="20"/>
        </w:rPr>
        <w:t>я</w:t>
      </w:r>
      <w:r w:rsidR="00202E7C">
        <w:rPr>
          <w:sz w:val="20"/>
          <w:szCs w:val="20"/>
        </w:rPr>
        <w:t xml:space="preserve"> резолюции было отмечено</w:t>
      </w:r>
      <w:r w:rsidRPr="00622D6A">
        <w:rPr>
          <w:sz w:val="20"/>
          <w:szCs w:val="20"/>
        </w:rPr>
        <w:t>, что при реализации данного положения необходимо учитывать наличие малочисленных судов.</w:t>
      </w:r>
      <w:r>
        <w:rPr>
          <w:sz w:val="20"/>
          <w:szCs w:val="20"/>
        </w:rPr>
        <w:t xml:space="preserve"> </w:t>
      </w:r>
    </w:p>
  </w:footnote>
  <w:footnote w:id="5">
    <w:p w:rsidR="00F60858" w:rsidRDefault="00F60858" w:rsidP="00B15421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B15421"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«Полагаю, что данная рекомендация</w:t>
      </w:r>
      <w:r w:rsidR="006269B9">
        <w:rPr>
          <w:rFonts w:ascii="Times New Roman" w:hAnsi="Times New Roman" w:cs="Times New Roman"/>
        </w:rPr>
        <w:t xml:space="preserve"> (№ 2)</w:t>
      </w:r>
      <w:r w:rsidR="00B15421">
        <w:rPr>
          <w:rFonts w:ascii="Times New Roman" w:hAnsi="Times New Roman" w:cs="Times New Roman"/>
        </w:rPr>
        <w:t xml:space="preserve"> не вытекает из хода и содержания состоявшейся на конференции дискуссии. Напротив, никаких проблем с беспристрастностью судей и институтом отвода выявлено не было, в том числе с точки зрения пробелов в законодательстве, особенно с учетом ч. 2 ст. 61 УПК РФ. Все предложения по оптимизации законодательства сводились лишь к изложению данной нормы другими словами».</w:t>
      </w:r>
    </w:p>
  </w:footnote>
  <w:footnote w:id="6">
    <w:p w:rsidR="00B15421" w:rsidRDefault="00B15421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«Никаких «гарантий» здесь быть не может с учетом фундаментальных принципов доказательственного права, в частности обязанности судьи в каждом конкретном случае оценивать относимость и допустимость представленных доказательств, отсутствие у каких-либо доказательств предустановленной силы и т. п.».</w:t>
      </w:r>
    </w:p>
  </w:footnote>
  <w:footnote w:id="7">
    <w:p w:rsidR="00B15421" w:rsidRDefault="00B15421" w:rsidP="00B15421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«Полагаю, что данная рекомендация</w:t>
      </w:r>
      <w:r w:rsidR="006269B9">
        <w:rPr>
          <w:rFonts w:ascii="Times New Roman" w:hAnsi="Times New Roman" w:cs="Times New Roman"/>
        </w:rPr>
        <w:t xml:space="preserve"> (№ 5)</w:t>
      </w:r>
      <w:r>
        <w:rPr>
          <w:rFonts w:ascii="Times New Roman" w:hAnsi="Times New Roman" w:cs="Times New Roman"/>
        </w:rPr>
        <w:t xml:space="preserve"> не вытекает из хода и содержания состоявшейся на конференции дискуссии. Напротив, участники конференции наглядно показали</w:t>
      </w:r>
      <w:r w:rsidR="00C36978">
        <w:rPr>
          <w:rFonts w:ascii="Times New Roman" w:hAnsi="Times New Roman" w:cs="Times New Roman"/>
        </w:rPr>
        <w:t>, например,</w:t>
      </w:r>
      <w:r>
        <w:rPr>
          <w:rFonts w:ascii="Times New Roman" w:hAnsi="Times New Roman" w:cs="Times New Roman"/>
        </w:rPr>
        <w:t xml:space="preserve"> невозможность подвергать несовершеннолетнего допросу со стороны обвиняемого без ущерба для интересов самого несовершеннолетнего</w:t>
      </w:r>
      <w:r w:rsidR="00C36978">
        <w:rPr>
          <w:rFonts w:ascii="Times New Roman" w:hAnsi="Times New Roman" w:cs="Times New Roman"/>
        </w:rPr>
        <w:t xml:space="preserve"> и необходимости защиты его прав</w:t>
      </w:r>
      <w:r>
        <w:rPr>
          <w:rFonts w:ascii="Times New Roman" w:hAnsi="Times New Roman" w:cs="Times New Roman"/>
        </w:rPr>
        <w:t xml:space="preserve"> (примеры из</w:t>
      </w:r>
      <w:r w:rsidR="00782F1A">
        <w:rPr>
          <w:rFonts w:ascii="Times New Roman" w:hAnsi="Times New Roman" w:cs="Times New Roman"/>
        </w:rPr>
        <w:t xml:space="preserve"> практики Самарской обл.)</w:t>
      </w:r>
      <w:r w:rsidR="00C36978">
        <w:rPr>
          <w:rFonts w:ascii="Times New Roman" w:hAnsi="Times New Roman" w:cs="Times New Roman"/>
        </w:rPr>
        <w:t>».</w:t>
      </w:r>
    </w:p>
  </w:footnote>
  <w:footnote w:id="8">
    <w:p w:rsidR="001A46CD" w:rsidRPr="00A478DC" w:rsidRDefault="001A46CD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="00A478DC" w:rsidRPr="00A478DC">
        <w:rPr>
          <w:rFonts w:ascii="Times New Roman" w:hAnsi="Times New Roman" w:cs="Times New Roman"/>
        </w:rPr>
        <w:t>При принятии резолюции было отмечено, что реализация данного предложения</w:t>
      </w:r>
      <w:r w:rsidR="00202E7C" w:rsidRPr="00A478DC">
        <w:rPr>
          <w:rFonts w:ascii="Times New Roman" w:hAnsi="Times New Roman" w:cs="Times New Roman"/>
        </w:rPr>
        <w:t xml:space="preserve"> </w:t>
      </w:r>
      <w:r w:rsidR="00A478DC" w:rsidRPr="00A478DC">
        <w:rPr>
          <w:rFonts w:ascii="Times New Roman" w:hAnsi="Times New Roman" w:cs="Times New Roman"/>
        </w:rPr>
        <w:t>до начала следственного действия сделает бессмысленным его производство, а также приведет к нарушению принципа равенства перед законом и судом.</w:t>
      </w:r>
    </w:p>
  </w:footnote>
  <w:footnote w:id="9">
    <w:p w:rsidR="00C36978" w:rsidRDefault="00C36978">
      <w:pPr>
        <w:pStyle w:val="ab"/>
      </w:pPr>
      <w:r w:rsidRPr="00A478DC">
        <w:rPr>
          <w:rStyle w:val="ad"/>
          <w:rFonts w:ascii="Times New Roman" w:hAnsi="Times New Roman" w:cs="Times New Roman"/>
        </w:rPr>
        <w:footnoteRef/>
      </w:r>
      <w:r w:rsidRPr="00A478DC">
        <w:rPr>
          <w:rFonts w:ascii="Times New Roman" w:hAnsi="Times New Roman" w:cs="Times New Roman"/>
        </w:rPr>
        <w:t xml:space="preserve"> Особое мнение заведующего кафедрой</w:t>
      </w:r>
      <w:r>
        <w:rPr>
          <w:rFonts w:ascii="Times New Roman" w:hAnsi="Times New Roman" w:cs="Times New Roman"/>
        </w:rPr>
        <w:t xml:space="preserve"> уголовного процесса, правосудия и прокурорского надзора юридического факультета МГУ, профессора Л. В. Головко: «Полагаю, что данная рекомендация</w:t>
      </w:r>
      <w:r w:rsidR="006269B9">
        <w:rPr>
          <w:rFonts w:ascii="Times New Roman" w:hAnsi="Times New Roman" w:cs="Times New Roman"/>
        </w:rPr>
        <w:t xml:space="preserve"> (№ 6)</w:t>
      </w:r>
      <w:r>
        <w:rPr>
          <w:rFonts w:ascii="Times New Roman" w:hAnsi="Times New Roman" w:cs="Times New Roman"/>
        </w:rPr>
        <w:t xml:space="preserve"> не вытекает из хода и содержания состоявшейся на конференции дискуссии, которые показали отсутствие в данном аспекте каких-либо изъянов законодательства. Все встречающиеся проблемы имеют исключительно правоприменительный характер».</w:t>
      </w:r>
    </w:p>
  </w:footnote>
  <w:footnote w:id="10">
    <w:p w:rsidR="00C36978" w:rsidRDefault="00C36978" w:rsidP="00C36978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Особое мнение заведующего кафедрой уголовного процесса, правосудия и прокурорского надзора юридического факультета МГУ, профессора Л. В. Головко: «Полагаю, что данная рекомендация не вытекает из хода и содержания состоявшейся на конференции дискуссии. Если налогоплательщик оплачивает защитника по назначению, то почему деятельность этого защитника должна признаваться ущербной </w:t>
      </w:r>
      <w:r w:rsidRPr="00782F1A">
        <w:rPr>
          <w:rFonts w:ascii="Times New Roman" w:hAnsi="Times New Roman" w:cs="Times New Roman"/>
        </w:rPr>
        <w:t>на законодательном уровне?</w:t>
      </w:r>
      <w:r>
        <w:rPr>
          <w:rFonts w:ascii="Times New Roman" w:hAnsi="Times New Roman" w:cs="Times New Roman"/>
        </w:rPr>
        <w:t xml:space="preserve"> Означает ли это, что рекомендация ставит под сомнение необходимость обеспечения защиты по назначению малоимущим гражданам и т. п.?»</w:t>
      </w:r>
    </w:p>
  </w:footnote>
  <w:footnote w:id="11">
    <w:p w:rsidR="00C36978" w:rsidRDefault="00C3697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«Полагаю, что данная рекомендация требует более тщательного обсуждения. Заочное рассмотрение дела в любом случае не удовлетворяет интересам потерпевшего, так как не позволяет реально исполнить справедливое наказание, обеспечить потерпевшему возмещение вреда со стороны скрывающегося обвиняемого и т. п.»</w:t>
      </w:r>
    </w:p>
  </w:footnote>
  <w:footnote w:id="12">
    <w:p w:rsidR="00C36978" w:rsidRDefault="00C36978" w:rsidP="00C36978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«Как реализовывать данную рекомендацию на нормативном уровне, обеспечивая недопустимость «подмены действительного исследования обстоятельств дела формальными схемами» и т. п.</w:t>
      </w:r>
      <w:r w:rsidR="00C654DA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Представляется, что такая рекомендация может быть реализована исключительно на правоприменительном уровне, поскольку российски</w:t>
      </w:r>
      <w:r w:rsidR="00C654DA">
        <w:rPr>
          <w:rFonts w:ascii="Times New Roman" w:hAnsi="Times New Roman" w:cs="Times New Roman"/>
        </w:rPr>
        <w:t>й уголовно-процессуальный закон</w:t>
      </w:r>
      <w:r>
        <w:rPr>
          <w:rFonts w:ascii="Times New Roman" w:hAnsi="Times New Roman" w:cs="Times New Roman"/>
        </w:rPr>
        <w:t xml:space="preserve"> не содержит никаких предпосылок для использования при оценке доказательств «формальных схем»». </w:t>
      </w:r>
    </w:p>
  </w:footnote>
  <w:footnote w:id="13">
    <w:p w:rsidR="00C654DA" w:rsidRPr="00C654DA" w:rsidRDefault="00C654DA" w:rsidP="00C654DA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«Российский уголовно-процессуальный закон вполне разграничивает апелляционные и кассационные (надзорные) основания. Что касается «анализа практики» (а не закона!), то ее недостатки нельзя устранить изменением букв или запятых в тексте закона. Речь идет о сугубо правоприменительной рекомендации. Т</w:t>
      </w:r>
      <w:r w:rsidR="00782F1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же самое касается оснований для пересмотра дел </w:t>
      </w:r>
      <w:r>
        <w:rPr>
          <w:rFonts w:ascii="Times New Roman" w:hAnsi="Times New Roman" w:cs="Times New Roman"/>
          <w:lang w:val="fr-FR"/>
        </w:rPr>
        <w:t>in</w:t>
      </w:r>
      <w:r w:rsidRPr="00C654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defavorem</w:t>
      </w:r>
      <w:r>
        <w:rPr>
          <w:rFonts w:ascii="Times New Roman" w:hAnsi="Times New Roman" w:cs="Times New Roman"/>
        </w:rPr>
        <w:t>. Достаточно напомнить, что появление данной нормы связано с тщательной имплементацией текста протокола № 7 к Конвенции и соответствующих решений ЕСПЧ. Это наглядно доказывает методологическую недопустимость решения правоприменительных проблем нормативными способами»</w:t>
      </w:r>
    </w:p>
  </w:footnote>
  <w:footnote w:id="14">
    <w:p w:rsidR="00C654DA" w:rsidRDefault="00C654DA" w:rsidP="00C654DA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«</w:t>
      </w:r>
      <w:r w:rsidR="00084F0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амо разграничение в рекомендации «полной» и «неполной» апелляции противоречит протоколу № 7 к Конвенции, поскольку по уголовным делам апелляция не может быть «неполной» в силу тяжести грозящего наказания по любому уголовному делу (это терминология гражданского процесса). Поэтому никакого «перехода к полной апелляции» и не требуется. Речь идет о других проблемах, опять-таки имеющих не нормативный, а правоприменительный характер.</w:t>
      </w:r>
    </w:p>
  </w:footnote>
  <w:footnote w:id="15">
    <w:p w:rsidR="000932E0" w:rsidRDefault="00C654DA" w:rsidP="000932E0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Особое мнение заведующего кафедрой уголовного процесса, правосудия и прокурорского надзора юридического факультета МГУ, профессора Л. В. Головко: «Как и за чей счет данная рекомендация будет реализовываться, особенно с учетом удаленности некоторых апелляционных инстанций, например</w:t>
      </w:r>
      <w:r w:rsidR="000932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Верховного суда РФ, </w:t>
      </w:r>
      <w:r w:rsidR="000932E0">
        <w:rPr>
          <w:rFonts w:ascii="Times New Roman" w:hAnsi="Times New Roman" w:cs="Times New Roman"/>
        </w:rPr>
        <w:t>от места нахождения осужденного (например, о. Сахалин)? Кто будет решать в такой ситуации вопрос о назначении защитника в Москве или оплачивать командировку в Москву сахалинского защитника. Насколько такие меры действенны, особенно с учетом недоверия к защите по назначению, высказанному в рекомендации № 7 (см. выше)».</w:t>
      </w:r>
    </w:p>
    <w:p w:rsidR="00C654DA" w:rsidRDefault="00C654DA" w:rsidP="000932E0">
      <w:pPr>
        <w:pStyle w:val="ab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13850"/>
    <w:multiLevelType w:val="hybridMultilevel"/>
    <w:tmpl w:val="C6F05C48"/>
    <w:lvl w:ilvl="0" w:tplc="9138B8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F334F"/>
    <w:multiLevelType w:val="hybridMultilevel"/>
    <w:tmpl w:val="1244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F276D"/>
    <w:multiLevelType w:val="hybridMultilevel"/>
    <w:tmpl w:val="CF68807E"/>
    <w:lvl w:ilvl="0" w:tplc="DD3CCCB2">
      <w:start w:val="1"/>
      <w:numFmt w:val="decimal"/>
      <w:lvlText w:val="%1)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A7"/>
    <w:rsid w:val="00013437"/>
    <w:rsid w:val="00084F0A"/>
    <w:rsid w:val="000854D7"/>
    <w:rsid w:val="000932E0"/>
    <w:rsid w:val="000E1C43"/>
    <w:rsid w:val="00112F17"/>
    <w:rsid w:val="00164C6F"/>
    <w:rsid w:val="00194D1B"/>
    <w:rsid w:val="001A2744"/>
    <w:rsid w:val="001A46CD"/>
    <w:rsid w:val="00202E7C"/>
    <w:rsid w:val="00205DB2"/>
    <w:rsid w:val="0021660D"/>
    <w:rsid w:val="00234304"/>
    <w:rsid w:val="002650DB"/>
    <w:rsid w:val="002769C1"/>
    <w:rsid w:val="0028509D"/>
    <w:rsid w:val="002D5E18"/>
    <w:rsid w:val="002F7B65"/>
    <w:rsid w:val="003305EC"/>
    <w:rsid w:val="00336D4E"/>
    <w:rsid w:val="00340FED"/>
    <w:rsid w:val="003541CF"/>
    <w:rsid w:val="003604A7"/>
    <w:rsid w:val="0040588C"/>
    <w:rsid w:val="00455DDC"/>
    <w:rsid w:val="004660D3"/>
    <w:rsid w:val="00492E1C"/>
    <w:rsid w:val="004D73D6"/>
    <w:rsid w:val="00510AA1"/>
    <w:rsid w:val="0053138F"/>
    <w:rsid w:val="00622D6A"/>
    <w:rsid w:val="00624F0D"/>
    <w:rsid w:val="006269B9"/>
    <w:rsid w:val="006641EE"/>
    <w:rsid w:val="006C4CFE"/>
    <w:rsid w:val="00782F1A"/>
    <w:rsid w:val="007918A7"/>
    <w:rsid w:val="007A03B5"/>
    <w:rsid w:val="008A4B4D"/>
    <w:rsid w:val="008E79E4"/>
    <w:rsid w:val="00952031"/>
    <w:rsid w:val="0097672D"/>
    <w:rsid w:val="009936CD"/>
    <w:rsid w:val="009E0EEC"/>
    <w:rsid w:val="00A478DC"/>
    <w:rsid w:val="00A5245A"/>
    <w:rsid w:val="00A54E81"/>
    <w:rsid w:val="00A95405"/>
    <w:rsid w:val="00AA440E"/>
    <w:rsid w:val="00AD3B87"/>
    <w:rsid w:val="00B0661A"/>
    <w:rsid w:val="00B15421"/>
    <w:rsid w:val="00B263CB"/>
    <w:rsid w:val="00B767D1"/>
    <w:rsid w:val="00BF1596"/>
    <w:rsid w:val="00C17F0F"/>
    <w:rsid w:val="00C36978"/>
    <w:rsid w:val="00C47181"/>
    <w:rsid w:val="00C654DA"/>
    <w:rsid w:val="00C66D1C"/>
    <w:rsid w:val="00C8222D"/>
    <w:rsid w:val="00CC25E0"/>
    <w:rsid w:val="00CD4F9B"/>
    <w:rsid w:val="00D3218B"/>
    <w:rsid w:val="00DB6425"/>
    <w:rsid w:val="00E16A11"/>
    <w:rsid w:val="00E30921"/>
    <w:rsid w:val="00E9368F"/>
    <w:rsid w:val="00EA6AA1"/>
    <w:rsid w:val="00EE2255"/>
    <w:rsid w:val="00EF3400"/>
    <w:rsid w:val="00F22C01"/>
    <w:rsid w:val="00F34A4B"/>
    <w:rsid w:val="00F474EB"/>
    <w:rsid w:val="00F60858"/>
    <w:rsid w:val="00F85E71"/>
    <w:rsid w:val="00F8791F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B9C58-45CD-432B-BD9C-26AA935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3D6"/>
    <w:rPr>
      <w:b/>
      <w:bCs/>
    </w:rPr>
  </w:style>
  <w:style w:type="character" w:customStyle="1" w:styleId="apple-converted-space">
    <w:name w:val="apple-converted-space"/>
    <w:basedOn w:val="a0"/>
    <w:rsid w:val="004D73D6"/>
  </w:style>
  <w:style w:type="paragraph" w:styleId="a4">
    <w:name w:val="List Paragraph"/>
    <w:basedOn w:val="a"/>
    <w:uiPriority w:val="34"/>
    <w:qFormat/>
    <w:rsid w:val="004D73D6"/>
    <w:pPr>
      <w:ind w:left="720"/>
      <w:contextualSpacing/>
    </w:pPr>
  </w:style>
  <w:style w:type="paragraph" w:customStyle="1" w:styleId="ConsPlusNormal">
    <w:name w:val="ConsPlusNormal"/>
    <w:rsid w:val="00A52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D1C"/>
  </w:style>
  <w:style w:type="paragraph" w:styleId="a9">
    <w:name w:val="footer"/>
    <w:basedOn w:val="a"/>
    <w:link w:val="aa"/>
    <w:uiPriority w:val="99"/>
    <w:unhideWhenUsed/>
    <w:rsid w:val="00C6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D1C"/>
  </w:style>
  <w:style w:type="paragraph" w:styleId="ab">
    <w:name w:val="footnote text"/>
    <w:basedOn w:val="a"/>
    <w:link w:val="ac"/>
    <w:uiPriority w:val="99"/>
    <w:semiHidden/>
    <w:unhideWhenUsed/>
    <w:rsid w:val="00CC25E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25E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25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B0B0-FF19-4666-8C5F-480EDF57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Клиника</dc:creator>
  <cp:lastModifiedBy>ЮИ - Ольга И. Андреева</cp:lastModifiedBy>
  <cp:revision>2</cp:revision>
  <cp:lastPrinted>2016-05-13T06:07:00Z</cp:lastPrinted>
  <dcterms:created xsi:type="dcterms:W3CDTF">2016-05-16T08:05:00Z</dcterms:created>
  <dcterms:modified xsi:type="dcterms:W3CDTF">2016-05-16T08:05:00Z</dcterms:modified>
</cp:coreProperties>
</file>