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32" w:rsidRPr="004C485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right="-1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</w:t>
      </w:r>
    </w:p>
    <w:p w:rsidR="005C5A32" w:rsidRPr="00ED0E2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left="4395" w:right="-177"/>
        <w:jc w:val="right"/>
        <w:rPr>
          <w:rFonts w:ascii="Times New Roman" w:hAnsi="Times New Roman"/>
          <w:b/>
          <w:i/>
        </w:rPr>
      </w:pPr>
      <w:r w:rsidRPr="0054081E">
        <w:rPr>
          <w:rFonts w:ascii="Times New Roman" w:hAnsi="Times New Roman"/>
        </w:rPr>
        <w:t>«</w:t>
      </w:r>
      <w:r w:rsidRPr="00ED0E25">
        <w:rPr>
          <w:rFonts w:ascii="Times New Roman" w:hAnsi="Times New Roman"/>
          <w:i/>
        </w:rPr>
        <w:t>УТВЕРЖДЕНО»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 w:rsidRPr="00ED0E25">
        <w:t>на заседании кафедры гражданского права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>
        <w:t>Протокол №</w:t>
      </w:r>
      <w:r w:rsidRPr="005C5A32">
        <w:t xml:space="preserve"> 2</w:t>
      </w:r>
      <w:r w:rsidRPr="00ED0E25">
        <w:t xml:space="preserve">  от «</w:t>
      </w:r>
      <w:r>
        <w:t>07</w:t>
      </w:r>
      <w:r w:rsidRPr="00ED0E25">
        <w:t>»</w:t>
      </w:r>
      <w:r>
        <w:t xml:space="preserve"> сентября</w:t>
      </w:r>
      <w:r w:rsidRPr="00ED0E25">
        <w:t xml:space="preserve"> 20</w:t>
      </w:r>
      <w:r>
        <w:t xml:space="preserve">20 </w:t>
      </w:r>
      <w:r w:rsidRPr="00ED0E25">
        <w:t>г.</w:t>
      </w:r>
    </w:p>
    <w:p w:rsidR="005C5A32" w:rsidRPr="00ED0E25" w:rsidRDefault="005C5A32" w:rsidP="005C5A32">
      <w:pPr>
        <w:spacing w:line="360" w:lineRule="auto"/>
        <w:ind w:left="720"/>
        <w:jc w:val="right"/>
        <w:rPr>
          <w:b/>
        </w:rPr>
      </w:pPr>
      <w:r w:rsidRPr="00ED0E25">
        <w:t xml:space="preserve">                                                                          </w:t>
      </w:r>
      <w:r>
        <w:t>З</w:t>
      </w:r>
      <w:r w:rsidRPr="00ED0E25">
        <w:t>ав. кафедрой</w:t>
      </w:r>
      <w:r>
        <w:t xml:space="preserve"> </w:t>
      </w:r>
      <w:r w:rsidRPr="00ED0E25">
        <w:t xml:space="preserve"> проф. Е.С.Болтанова</w:t>
      </w:r>
    </w:p>
    <w:p w:rsidR="005C5A32" w:rsidRDefault="005C5A32" w:rsidP="005C5A32">
      <w:pPr>
        <w:spacing w:line="360" w:lineRule="auto"/>
        <w:ind w:left="720"/>
        <w:rPr>
          <w:b/>
        </w:rPr>
      </w:pPr>
    </w:p>
    <w:p w:rsidR="005C5A32" w:rsidRDefault="005C5A32" w:rsidP="005C5A32">
      <w:pPr>
        <w:spacing w:line="360" w:lineRule="auto"/>
        <w:ind w:left="720"/>
        <w:rPr>
          <w:b/>
        </w:rPr>
      </w:pPr>
    </w:p>
    <w:p w:rsidR="000F5129" w:rsidRDefault="000F5129" w:rsidP="000F5129">
      <w:pPr>
        <w:pStyle w:val="3"/>
        <w:tabs>
          <w:tab w:val="left" w:pos="993"/>
        </w:tabs>
        <w:spacing w:after="0"/>
        <w:ind w:left="0"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Вопросы по </w:t>
      </w:r>
      <w:r>
        <w:rPr>
          <w:b/>
          <w:iCs/>
          <w:sz w:val="24"/>
          <w:szCs w:val="24"/>
        </w:rPr>
        <w:t xml:space="preserve">дисциплине «Римское право» </w:t>
      </w:r>
      <w:bookmarkStart w:id="0" w:name="_GoBack"/>
      <w:bookmarkEnd w:id="0"/>
      <w:r>
        <w:rPr>
          <w:b/>
          <w:iCs/>
          <w:sz w:val="24"/>
          <w:szCs w:val="24"/>
        </w:rPr>
        <w:t xml:space="preserve"> к зачету</w:t>
      </w:r>
    </w:p>
    <w:p w:rsidR="000F5129" w:rsidRDefault="000F5129" w:rsidP="000F5129">
      <w:pPr>
        <w:pStyle w:val="3"/>
        <w:tabs>
          <w:tab w:val="left" w:pos="993"/>
        </w:tabs>
        <w:spacing w:after="0"/>
        <w:ind w:left="0" w:firstLine="567"/>
        <w:rPr>
          <w:b/>
          <w:iCs/>
          <w:sz w:val="24"/>
          <w:szCs w:val="24"/>
        </w:rPr>
      </w:pP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1. Понятие и признаки римского права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2. Рецепция римского права.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3. Исторические системы римского частного права.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4. Система источников римского права.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5. Понятие, значение и виды исков.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6. Легисакционный процесс.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7. Формулярный процесс.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8. Экстраординарный процесс.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9. Исковая давность.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10. Особые средства преторской защиты.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11. Правовое положение римских граждан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12. Правовое положение литинов, перегринов и либертинов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13. Правовое положение рабов и колонов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14. Юридические лица по римскому праву.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15. Опека и попечительство по римскому праву.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16. Римская семья.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17. Римский брак.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18. Отцовская власть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20. Личные и имущественные отношения между супругами.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21. Понятие, сущность и виды вещных прав.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22.Классификация вещей и ее правовое значение.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23. Понятие и содержание права собственности.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24. Основания приобретения и прекращения права собственности.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25 . Бонитарная собственность.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26. Общая собственность.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27. Защита права собственности.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28. Сервитуты в римском праве.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29. Эмфитевзис и Суперфиций.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30. Институт владения в римском праве.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31. Понятие, содержание и виды обязательств в римском праве.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32. Исполнение обязательств в римском праве.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33. Обеспечения исполнения обязательств в римском праве.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34. Перемена лиц в обязательствах.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35. Ответственность за неисполнение обязательств в римском праве.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36. Прекращение обязательств.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37. Система договоров в римском праве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38. Условия заключения договоров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39. Договор купли-продажи.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40. Договор найма вещи.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41. Договоры найма работ и найма услуг.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lastRenderedPageBreak/>
        <w:t xml:space="preserve">42. Договор поручения.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43. Договор товарищества.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44. Договор займа и договор ссуды.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45.   Договор хранения.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46. Обязательства из ведения чужого дела без поручения.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47. Обязательства из неосновательного обогащения.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48. Обязательства из деликтов и квазиделиктов.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49. Понятие, значение и виды наследования.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50. Наследование по завещанию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 xml:space="preserve">51. Наследование по закону. </w:t>
      </w:r>
    </w:p>
    <w:p w:rsidR="000F5129" w:rsidRDefault="000F5129" w:rsidP="000F5129">
      <w:pPr>
        <w:rPr>
          <w:rFonts w:eastAsia="MS Mincho"/>
        </w:rPr>
      </w:pPr>
      <w:r>
        <w:rPr>
          <w:rFonts w:eastAsia="MS Mincho"/>
        </w:rPr>
        <w:t>52. Принятие наследства.</w:t>
      </w:r>
    </w:p>
    <w:p w:rsidR="009024F9" w:rsidRPr="005C5A32" w:rsidRDefault="009024F9" w:rsidP="000F5129">
      <w:pPr>
        <w:spacing w:line="360" w:lineRule="auto"/>
        <w:ind w:left="720"/>
        <w:jc w:val="center"/>
      </w:pPr>
    </w:p>
    <w:sectPr w:rsidR="009024F9" w:rsidRPr="005C5A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AF" w:rsidRDefault="006432AF">
      <w:r>
        <w:separator/>
      </w:r>
    </w:p>
  </w:endnote>
  <w:endnote w:type="continuationSeparator" w:id="0">
    <w:p w:rsidR="006432AF" w:rsidRDefault="0064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5</w:t>
    </w:r>
    <w:r>
      <w:rPr>
        <w:rStyle w:val="a5"/>
        <w:rFonts w:eastAsiaTheme="majorEastAsia"/>
      </w:rPr>
      <w:fldChar w:fldCharType="end"/>
    </w:r>
  </w:p>
  <w:p w:rsidR="00EA38B8" w:rsidRDefault="006432AF" w:rsidP="006B5C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0F5129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EA38B8" w:rsidRDefault="006432AF" w:rsidP="006B5C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AF" w:rsidRDefault="006432AF">
      <w:r>
        <w:separator/>
      </w:r>
    </w:p>
  </w:footnote>
  <w:footnote w:type="continuationSeparator" w:id="0">
    <w:p w:rsidR="006432AF" w:rsidRDefault="0064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53A8B"/>
    <w:multiLevelType w:val="hybridMultilevel"/>
    <w:tmpl w:val="2A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4"/>
    <w:rsid w:val="000F5129"/>
    <w:rsid w:val="005C5A32"/>
    <w:rsid w:val="006432AF"/>
    <w:rsid w:val="009024F9"/>
    <w:rsid w:val="009D1454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DF02-3BEE-4B75-98FC-A670F32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A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rsid w:val="005C5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A32"/>
  </w:style>
  <w:style w:type="paragraph" w:styleId="3">
    <w:name w:val="Body Text Indent 3"/>
    <w:basedOn w:val="a"/>
    <w:link w:val="30"/>
    <w:uiPriority w:val="99"/>
    <w:semiHidden/>
    <w:unhideWhenUsed/>
    <w:rsid w:val="000F5129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51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6</cp:revision>
  <dcterms:created xsi:type="dcterms:W3CDTF">2020-10-05T07:07:00Z</dcterms:created>
  <dcterms:modified xsi:type="dcterms:W3CDTF">2020-10-05T10:53:00Z</dcterms:modified>
</cp:coreProperties>
</file>